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38DC" w14:textId="77777777" w:rsidR="00BA2D05" w:rsidRDefault="0016058C">
      <w:pPr>
        <w:pStyle w:val="Title"/>
        <w:jc w:val="center"/>
        <w:rPr>
          <w:rFonts w:ascii="Palatino Linotype" w:hAnsi="Palatino Linotype"/>
          <w:b/>
          <w:bCs/>
          <w:sz w:val="32"/>
          <w:szCs w:val="32"/>
        </w:rPr>
      </w:pPr>
      <w:r>
        <w:rPr>
          <w:rFonts w:ascii="Palatino Linotype" w:hAnsi="Palatino Linotype"/>
          <w:b/>
          <w:bCs/>
          <w:sz w:val="32"/>
          <w:szCs w:val="32"/>
        </w:rPr>
        <w:t>Kant’s Theoretical and Practical Philosophy</w:t>
      </w:r>
    </w:p>
    <w:p w14:paraId="23151E60" w14:textId="13146075" w:rsidR="00BA2D05" w:rsidRDefault="0016058C">
      <w:pPr>
        <w:pStyle w:val="Subtitle"/>
        <w:spacing w:after="0"/>
        <w:jc w:val="center"/>
        <w:rPr>
          <w:rFonts w:ascii="Palatino Linotype" w:hAnsi="Palatino Linotype"/>
        </w:rPr>
      </w:pPr>
      <w:r>
        <w:rPr>
          <w:rFonts w:ascii="Palatino Linotype" w:hAnsi="Palatino Linotype"/>
        </w:rPr>
        <w:t>(Year 2)</w:t>
      </w:r>
    </w:p>
    <w:p w14:paraId="7C3B032A" w14:textId="77777777" w:rsidR="00BA2D05" w:rsidRDefault="0016058C">
      <w:pPr>
        <w:pStyle w:val="Subtitle"/>
        <w:spacing w:after="0"/>
        <w:jc w:val="center"/>
        <w:rPr>
          <w:rFonts w:ascii="Palatino Linotype" w:hAnsi="Palatino Linotype"/>
        </w:rPr>
      </w:pPr>
      <w:r>
        <w:rPr>
          <w:rFonts w:ascii="Palatino Linotype" w:hAnsi="Palatino Linotype"/>
        </w:rPr>
        <w:t>20 Credits</w:t>
      </w:r>
    </w:p>
    <w:p w14:paraId="7EF56E98" w14:textId="77777777" w:rsidR="00BA2D05" w:rsidRDefault="00BA2D05">
      <w:pPr>
        <w:rPr>
          <w:rFonts w:ascii="Palatino Linotype" w:hAnsi="Palatino Linotype"/>
        </w:rPr>
      </w:pPr>
    </w:p>
    <w:p w14:paraId="28A0C5AA" w14:textId="77777777" w:rsidR="00BA2D05" w:rsidRDefault="0016058C">
      <w:pPr>
        <w:rPr>
          <w:rFonts w:ascii="Palatino Linotype" w:hAnsi="Palatino Linotype"/>
          <w:b/>
          <w:bCs/>
        </w:rPr>
      </w:pPr>
      <w:r>
        <w:rPr>
          <w:rFonts w:ascii="Palatino Linotype" w:hAnsi="Palatino Linotype"/>
          <w:b/>
          <w:bCs/>
        </w:rPr>
        <w:t>Lecturer: Chris Jay</w:t>
      </w:r>
    </w:p>
    <w:p w14:paraId="3ACBDBC2" w14:textId="77777777" w:rsidR="00BA2D05" w:rsidRDefault="0016058C">
      <w:pPr>
        <w:rPr>
          <w:rFonts w:ascii="Palatino Linotype" w:hAnsi="Palatino Linotype"/>
          <w:b/>
          <w:bCs/>
        </w:rPr>
      </w:pPr>
      <w:r>
        <w:rPr>
          <w:rFonts w:ascii="Palatino Linotype" w:hAnsi="Palatino Linotype"/>
          <w:b/>
          <w:bCs/>
        </w:rPr>
        <w:t xml:space="preserve">Email address: </w:t>
      </w:r>
      <w:hyperlink r:id="rId9" w:history="1">
        <w:r>
          <w:rPr>
            <w:rStyle w:val="Hyperlink"/>
            <w:rFonts w:ascii="Palatino Linotype" w:hAnsi="Palatino Linotype"/>
            <w:b/>
            <w:bCs/>
          </w:rPr>
          <w:t>christopher.jay@york.ac.uk</w:t>
        </w:r>
      </w:hyperlink>
      <w:r>
        <w:rPr>
          <w:rFonts w:ascii="Palatino Linotype" w:hAnsi="Palatino Linotype"/>
          <w:b/>
          <w:bCs/>
        </w:rPr>
        <w:t xml:space="preserve"> </w:t>
      </w:r>
    </w:p>
    <w:p w14:paraId="39BA6284" w14:textId="77777777" w:rsidR="00BA2D05" w:rsidRDefault="0016058C">
      <w:pPr>
        <w:rPr>
          <w:rFonts w:ascii="Palatino Linotype" w:hAnsi="Palatino Linotype"/>
        </w:rPr>
      </w:pPr>
      <w:r>
        <w:rPr>
          <w:rFonts w:ascii="Palatino Linotype" w:hAnsi="Palatino Linotype"/>
          <w:b/>
          <w:bCs/>
        </w:rPr>
        <w:t>Office:</w:t>
      </w:r>
      <w:r>
        <w:rPr>
          <w:rFonts w:ascii="Palatino Linotype" w:hAnsi="Palatino Linotype"/>
        </w:rPr>
        <w:t xml:space="preserve"> </w:t>
      </w:r>
      <w:r>
        <w:rPr>
          <w:rFonts w:ascii="Palatino Linotype" w:hAnsi="Palatino Linotype"/>
          <w:b/>
          <w:bCs/>
        </w:rPr>
        <w:t>Sally Baldwin</w:t>
      </w:r>
      <w:r>
        <w:rPr>
          <w:rFonts w:ascii="Palatino Linotype" w:hAnsi="Palatino Linotype"/>
        </w:rPr>
        <w:t xml:space="preserve"> (Philosophy Department) </w:t>
      </w:r>
      <w:r>
        <w:rPr>
          <w:rFonts w:ascii="Palatino Linotype" w:hAnsi="Palatino Linotype"/>
          <w:b/>
          <w:bCs/>
        </w:rPr>
        <w:t>A/111</w:t>
      </w:r>
      <w:r>
        <w:rPr>
          <w:rFonts w:ascii="Palatino Linotype" w:hAnsi="Palatino Linotype"/>
        </w:rPr>
        <w:t xml:space="preserve"> </w:t>
      </w:r>
      <w:r>
        <w:rPr>
          <w:rFonts w:ascii="Palatino Linotype" w:hAnsi="Palatino Linotype"/>
          <w:sz w:val="16"/>
          <w:szCs w:val="16"/>
        </w:rPr>
        <w:t>(upstairs, between the photocopier and the toilet)</w:t>
      </w:r>
    </w:p>
    <w:p w14:paraId="3E622EE8" w14:textId="0FC515D7" w:rsidR="00BA2D05" w:rsidRDefault="0016058C">
      <w:pPr>
        <w:rPr>
          <w:rFonts w:ascii="Palatino Linotype" w:hAnsi="Palatino Linotype"/>
        </w:rPr>
      </w:pPr>
      <w:r>
        <w:rPr>
          <w:rFonts w:ascii="Palatino Linotype" w:hAnsi="Palatino Linotype"/>
          <w:b/>
          <w:bCs/>
        </w:rPr>
        <w:t xml:space="preserve">Office Hours: </w:t>
      </w:r>
    </w:p>
    <w:p w14:paraId="57AE42A9" w14:textId="77777777" w:rsidR="00BA2D05" w:rsidRDefault="00BA2D05">
      <w:pPr>
        <w:rPr>
          <w:rFonts w:ascii="Palatino Linotype" w:hAnsi="Palatino Linotype"/>
        </w:rPr>
      </w:pPr>
    </w:p>
    <w:p w14:paraId="53403911" w14:textId="16E38877" w:rsidR="00BA2D05" w:rsidRDefault="0016058C">
      <w:pPr>
        <w:rPr>
          <w:rFonts w:ascii="Palatino Linotype" w:hAnsi="Palatino Linotype"/>
        </w:rPr>
      </w:pPr>
      <w:r>
        <w:rPr>
          <w:rFonts w:ascii="Palatino Linotype" w:hAnsi="Palatino Linotype"/>
          <w:b/>
          <w:bCs/>
        </w:rPr>
        <w:t>Lectures</w:t>
      </w:r>
      <w:r>
        <w:rPr>
          <w:rFonts w:ascii="Palatino Linotype" w:hAnsi="Palatino Linotype"/>
        </w:rPr>
        <w:t xml:space="preserve">: </w:t>
      </w:r>
    </w:p>
    <w:p w14:paraId="61DA1BB0" w14:textId="31F6E8EA" w:rsidR="00BA2D05" w:rsidRDefault="0016058C">
      <w:pPr>
        <w:rPr>
          <w:rFonts w:ascii="Palatino Linotype" w:hAnsi="Palatino Linotype"/>
        </w:rPr>
      </w:pPr>
      <w:r>
        <w:rPr>
          <w:rFonts w:ascii="Palatino Linotype" w:hAnsi="Palatino Linotype"/>
          <w:b/>
          <w:bCs/>
        </w:rPr>
        <w:t>Seminars</w:t>
      </w:r>
      <w:r>
        <w:rPr>
          <w:rFonts w:ascii="Palatino Linotype" w:hAnsi="Palatino Linotype"/>
        </w:rPr>
        <w:t>:</w:t>
      </w:r>
    </w:p>
    <w:p w14:paraId="076518F7" w14:textId="77777777" w:rsidR="00BA2D05" w:rsidRDefault="0016058C">
      <w:pPr>
        <w:pStyle w:val="Heading1"/>
        <w:rPr>
          <w:rFonts w:ascii="Palatino Linotype" w:hAnsi="Palatino Linotype"/>
          <w:sz w:val="28"/>
          <w:szCs w:val="28"/>
        </w:rPr>
      </w:pPr>
      <w:r>
        <w:rPr>
          <w:rFonts w:ascii="Palatino Linotype" w:hAnsi="Palatino Linotype"/>
          <w:sz w:val="28"/>
          <w:szCs w:val="28"/>
        </w:rPr>
        <w:t>Introduction</w:t>
      </w:r>
    </w:p>
    <w:p w14:paraId="4C7B7008" w14:textId="77777777" w:rsidR="00BA2D05" w:rsidRDefault="0016058C">
      <w:pPr>
        <w:rPr>
          <w:rFonts w:ascii="Palatino Linotype" w:hAnsi="Palatino Linotype"/>
        </w:rPr>
      </w:pPr>
      <w:r>
        <w:rPr>
          <w:rFonts w:ascii="Palatino Linotype" w:hAnsi="Palatino Linotype"/>
        </w:rPr>
        <w:t>Kant’s works are dense and difficult, made more confusing than they need to be by the way he writes and the mountain of jargon he employs. But they are also – I</w:t>
      </w:r>
      <w:r>
        <w:rPr>
          <w:rFonts w:ascii="Palatino Linotype" w:hAnsi="Palatino Linotype"/>
        </w:rPr>
        <w:t xml:space="preserve"> think – some of the most profoundly interesting works in the history of philosophy, and there have been times when I have felt genuinely awestruck by realising what Kant is saying, having had to work hard to get to the bottom of it. Regardless of what I think, or indeed what any of us think, Kant’s idea have been amongst the most historically significant, in European (and American) philosophy, of all philosophical ideas (and not just for European and English speaking philosophy – Mou </w:t>
      </w:r>
      <w:proofErr w:type="spellStart"/>
      <w:r>
        <w:rPr>
          <w:rFonts w:ascii="Palatino Linotype" w:hAnsi="Palatino Linotype"/>
        </w:rPr>
        <w:t>Zongsan</w:t>
      </w:r>
      <w:proofErr w:type="spellEnd"/>
      <w:r>
        <w:rPr>
          <w:rFonts w:ascii="Palatino Linotype" w:hAnsi="Palatino Linotype"/>
        </w:rPr>
        <w:t>, ‘generally co</w:t>
      </w:r>
      <w:r>
        <w:rPr>
          <w:rFonts w:ascii="Palatino Linotype" w:hAnsi="Palatino Linotype"/>
        </w:rPr>
        <w:t>nsidered the most important Chinese philosopher of the twentieth century’,</w:t>
      </w:r>
      <w:r>
        <w:rPr>
          <w:rStyle w:val="FootnoteReference"/>
          <w:rFonts w:ascii="Palatino Linotype" w:hAnsi="Palatino Linotype"/>
        </w:rPr>
        <w:footnoteReference w:id="1"/>
      </w:r>
      <w:r>
        <w:rPr>
          <w:rFonts w:ascii="Palatino Linotype" w:hAnsi="Palatino Linotype"/>
        </w:rPr>
        <w:t xml:space="preserve"> engaged very seriously with Kant’s ideas): he has always had his admirers and those who see their work as developing his own (e.g. Fichte and Schopenhauer in the 19</w:t>
      </w:r>
      <w:r>
        <w:rPr>
          <w:rFonts w:ascii="Palatino Linotype" w:hAnsi="Palatino Linotype"/>
          <w:vertAlign w:val="superscript"/>
        </w:rPr>
        <w:t>th</w:t>
      </w:r>
      <w:r>
        <w:rPr>
          <w:rFonts w:ascii="Palatino Linotype" w:hAnsi="Palatino Linotype"/>
        </w:rPr>
        <w:t xml:space="preserve"> Century, and some of the American pragmatists – especially C. I. Lewis – and Cassirer, Strawson, Rawls and Korsgaard in the 20</w:t>
      </w:r>
      <w:r>
        <w:rPr>
          <w:rFonts w:ascii="Palatino Linotype" w:hAnsi="Palatino Linotype"/>
          <w:vertAlign w:val="superscript"/>
        </w:rPr>
        <w:t>th</w:t>
      </w:r>
      <w:r>
        <w:rPr>
          <w:rFonts w:ascii="Palatino Linotype" w:hAnsi="Palatino Linotype"/>
        </w:rPr>
        <w:t xml:space="preserve"> Century); but those who harshly criticise and profoundly disagree with him have also found themselves engaging in a debate which his ideas help to shape. To understand Kant is to understand what philosophers have be</w:t>
      </w:r>
      <w:r>
        <w:rPr>
          <w:rFonts w:ascii="Palatino Linotype" w:hAnsi="Palatino Linotype"/>
        </w:rPr>
        <w:t>en implicitly or explicitly responding to for generations.</w:t>
      </w:r>
    </w:p>
    <w:p w14:paraId="3685B481" w14:textId="77777777" w:rsidR="00BA2D05" w:rsidRDefault="0016058C">
      <w:pPr>
        <w:ind w:firstLine="720"/>
        <w:rPr>
          <w:rFonts w:ascii="Palatino Linotype" w:hAnsi="Palatino Linotype"/>
        </w:rPr>
      </w:pPr>
      <w:r>
        <w:rPr>
          <w:rFonts w:ascii="Palatino Linotype" w:hAnsi="Palatino Linotype"/>
        </w:rPr>
        <w:t xml:space="preserve">Kant was a wide-ranging and systematic philosopher. He </w:t>
      </w:r>
      <w:proofErr w:type="gramStart"/>
      <w:r>
        <w:rPr>
          <w:rFonts w:ascii="Palatino Linotype" w:hAnsi="Palatino Linotype"/>
        </w:rPr>
        <w:t>actually taught</w:t>
      </w:r>
      <w:proofErr w:type="gramEnd"/>
      <w:r>
        <w:rPr>
          <w:rFonts w:ascii="Palatino Linotype" w:hAnsi="Palatino Linotype"/>
        </w:rPr>
        <w:t xml:space="preserve"> all sorts of things, going well beyond philosophy (he was often to be found lecturing on how to construct military fortifications!). But even within philosophy, he touched upon most of the sub-disciplines which we would recognise, from metaphysics, epistemology, philosophy of mind, ethics and political philosophy to philosophy of biology, philosophy of history, aesthetics, philosophy of religion, philosophy of physics and philosophy of mathematics. (He was not, though, much of a historian of</w:t>
      </w:r>
      <w:r>
        <w:rPr>
          <w:rFonts w:ascii="Palatino Linotype" w:hAnsi="Palatino Linotype"/>
        </w:rPr>
        <w:t xml:space="preserve"> philosophy.) We won’t be able to consider </w:t>
      </w:r>
      <w:proofErr w:type="gramStart"/>
      <w:r>
        <w:rPr>
          <w:rFonts w:ascii="Palatino Linotype" w:hAnsi="Palatino Linotype"/>
        </w:rPr>
        <w:t>all of</w:t>
      </w:r>
      <w:proofErr w:type="gramEnd"/>
      <w:r>
        <w:rPr>
          <w:rFonts w:ascii="Palatino Linotype" w:hAnsi="Palatino Linotype"/>
        </w:rPr>
        <w:t xml:space="preserve"> his contributions to the subject – for example, we won’t consider his extraordinarily influential work on aesthetics, nor his political philosophy, which includes a lot of philosophy of history. And we won’t be able to consider even </w:t>
      </w:r>
      <w:proofErr w:type="gramStart"/>
      <w:r>
        <w:rPr>
          <w:rFonts w:ascii="Palatino Linotype" w:hAnsi="Palatino Linotype"/>
        </w:rPr>
        <w:t>all of</w:t>
      </w:r>
      <w:proofErr w:type="gramEnd"/>
      <w:r>
        <w:rPr>
          <w:rFonts w:ascii="Palatino Linotype" w:hAnsi="Palatino Linotype"/>
        </w:rPr>
        <w:t xml:space="preserve"> the aspects of the works and theories which we </w:t>
      </w:r>
      <w:r>
        <w:rPr>
          <w:rFonts w:ascii="Palatino Linotype" w:hAnsi="Palatino Linotype"/>
          <w:i/>
          <w:iCs/>
        </w:rPr>
        <w:t>do</w:t>
      </w:r>
      <w:r>
        <w:rPr>
          <w:rFonts w:ascii="Palatino Linotype" w:hAnsi="Palatino Linotype"/>
        </w:rPr>
        <w:t xml:space="preserve"> look at. </w:t>
      </w:r>
    </w:p>
    <w:p w14:paraId="426A8B49" w14:textId="77777777" w:rsidR="00BA2D05" w:rsidRDefault="0016058C">
      <w:pPr>
        <w:ind w:firstLine="720"/>
        <w:rPr>
          <w:rFonts w:ascii="Palatino Linotype" w:hAnsi="Palatino Linotype"/>
        </w:rPr>
      </w:pPr>
      <w:r>
        <w:rPr>
          <w:rFonts w:ascii="Palatino Linotype" w:hAnsi="Palatino Linotype"/>
        </w:rPr>
        <w:t xml:space="preserve">We will concentrate on two works: the </w:t>
      </w:r>
      <w:r>
        <w:rPr>
          <w:rFonts w:ascii="Palatino Linotype" w:hAnsi="Palatino Linotype"/>
          <w:i/>
          <w:iCs/>
        </w:rPr>
        <w:t>Critique of Pure Reason</w:t>
      </w:r>
      <w:r>
        <w:rPr>
          <w:rFonts w:ascii="Palatino Linotype" w:hAnsi="Palatino Linotype"/>
        </w:rPr>
        <w:t xml:space="preserve">, which is Kant’s major work on metaphysics, epistemology and philosophy of mind; and the </w:t>
      </w:r>
      <w:r>
        <w:rPr>
          <w:rFonts w:ascii="Palatino Linotype" w:hAnsi="Palatino Linotype"/>
          <w:i/>
          <w:iCs/>
        </w:rPr>
        <w:t>Groundwork for the Metaphysics of Morals</w:t>
      </w:r>
      <w:r>
        <w:rPr>
          <w:rFonts w:ascii="Palatino Linotype" w:hAnsi="Palatino Linotype"/>
        </w:rPr>
        <w:t xml:space="preserve">, which is </w:t>
      </w:r>
      <w:r>
        <w:rPr>
          <w:rFonts w:ascii="Palatino Linotype" w:hAnsi="Palatino Linotype"/>
          <w:i/>
          <w:iCs/>
        </w:rPr>
        <w:t>one</w:t>
      </w:r>
      <w:r>
        <w:rPr>
          <w:rFonts w:ascii="Palatino Linotype" w:hAnsi="Palatino Linotype"/>
        </w:rPr>
        <w:t xml:space="preserve"> of his important works in ethics. </w:t>
      </w:r>
    </w:p>
    <w:p w14:paraId="0C6E41DF" w14:textId="77777777" w:rsidR="00BA2D05" w:rsidRDefault="00BA2D05">
      <w:pPr>
        <w:rPr>
          <w:rFonts w:ascii="Palatino Linotype" w:hAnsi="Palatino Linotype"/>
        </w:rPr>
      </w:pPr>
    </w:p>
    <w:p w14:paraId="7CE1AD06" w14:textId="77777777" w:rsidR="00BA2D05" w:rsidRDefault="0016058C">
      <w:pPr>
        <w:rPr>
          <w:rFonts w:ascii="Palatino Linotype" w:hAnsi="Palatino Linotype"/>
        </w:rPr>
      </w:pPr>
      <w:r>
        <w:rPr>
          <w:rFonts w:ascii="Palatino Linotype" w:hAnsi="Palatino Linotype"/>
        </w:rPr>
        <w:lastRenderedPageBreak/>
        <w:t xml:space="preserve">All too often, those studying the </w:t>
      </w:r>
      <w:r>
        <w:rPr>
          <w:rFonts w:ascii="Palatino Linotype" w:hAnsi="Palatino Linotype"/>
          <w:i/>
          <w:iCs/>
        </w:rPr>
        <w:t>Critique of Pure Reason</w:t>
      </w:r>
      <w:r>
        <w:rPr>
          <w:rFonts w:ascii="Palatino Linotype" w:hAnsi="Palatino Linotype"/>
        </w:rPr>
        <w:t xml:space="preserve"> only read and think about some of the first half of the book, leaving aside a lot of interesting and important material in later parts. I’m afraid we will do that. We will look at Kant’s ‘transcendental idealism’, a doctrine about metaphysics and epistemology, including some arguments in philosophy of mind. But I have had to be very selective in choosing which parts of the text, and which arguments, to focus on, leaving aside a great deal which it would be good to discuss given more </w:t>
      </w:r>
      <w:r>
        <w:rPr>
          <w:rFonts w:ascii="Palatino Linotype" w:hAnsi="Palatino Linotype"/>
        </w:rPr>
        <w:t xml:space="preserve">time. Getting to grips with the </w:t>
      </w:r>
      <w:r>
        <w:rPr>
          <w:rFonts w:ascii="Palatino Linotype" w:hAnsi="Palatino Linotype"/>
          <w:i/>
          <w:iCs/>
        </w:rPr>
        <w:t>Critique of Pure Reason</w:t>
      </w:r>
      <w:r>
        <w:rPr>
          <w:rFonts w:ascii="Palatino Linotype" w:hAnsi="Palatino Linotype"/>
        </w:rPr>
        <w:t xml:space="preserve"> to its full extent would take more time than we have available, even if we were to build the whole module around it. </w:t>
      </w:r>
    </w:p>
    <w:p w14:paraId="78B7B50A" w14:textId="77777777" w:rsidR="00BA2D05" w:rsidRDefault="0016058C">
      <w:pPr>
        <w:ind w:firstLine="720"/>
        <w:rPr>
          <w:rFonts w:ascii="Palatino Linotype" w:hAnsi="Palatino Linotype"/>
        </w:rPr>
      </w:pPr>
      <w:r>
        <w:rPr>
          <w:rFonts w:ascii="Palatino Linotype" w:hAnsi="Palatino Linotype"/>
        </w:rPr>
        <w:t xml:space="preserve">The things we will leave out of our discussion of Kant’s ethics are perhaps even more significant, and we will largely ignore a great deal of related political philosophy and history of philosophy in Kant’s work. Again, this is a shame, but we couldn’t possibly look at all the interesting and important aspects of Kant’s moral and political philosophy – even in a whole module on that material. So, we’ll comply with convention and read the </w:t>
      </w:r>
      <w:r>
        <w:rPr>
          <w:rFonts w:ascii="Palatino Linotype" w:hAnsi="Palatino Linotype"/>
          <w:i/>
          <w:iCs/>
        </w:rPr>
        <w:t>Groundwork for the Metaphysics of Morals</w:t>
      </w:r>
      <w:r>
        <w:rPr>
          <w:rFonts w:ascii="Palatino Linotype" w:hAnsi="Palatino Linotype"/>
        </w:rPr>
        <w:t xml:space="preserve"> as our main text. (Note that this is </w:t>
      </w:r>
      <w:r>
        <w:rPr>
          <w:rFonts w:ascii="Palatino Linotype" w:hAnsi="Palatino Linotype"/>
          <w:i/>
          <w:iCs/>
        </w:rPr>
        <w:t>not</w:t>
      </w:r>
      <w:r>
        <w:rPr>
          <w:rFonts w:ascii="Palatino Linotype" w:hAnsi="Palatino Linotype"/>
        </w:rPr>
        <w:t xml:space="preserve"> the same book as the </w:t>
      </w:r>
      <w:proofErr w:type="spellStart"/>
      <w:r>
        <w:rPr>
          <w:rFonts w:ascii="Palatino Linotype" w:hAnsi="Palatino Linotype"/>
          <w:i/>
          <w:iCs/>
        </w:rPr>
        <w:t>Metaphsyics</w:t>
      </w:r>
      <w:proofErr w:type="spellEnd"/>
      <w:r>
        <w:rPr>
          <w:rFonts w:ascii="Palatino Linotype" w:hAnsi="Palatino Linotype"/>
          <w:i/>
          <w:iCs/>
        </w:rPr>
        <w:t xml:space="preserve"> of Morals</w:t>
      </w:r>
      <w:r>
        <w:rPr>
          <w:rFonts w:ascii="Palatino Linotype" w:hAnsi="Palatino Linotype"/>
        </w:rPr>
        <w:t xml:space="preserve">, which is another important work in ethics which Kant wrote.) There are a few reasons for making this choice. </w:t>
      </w:r>
    </w:p>
    <w:p w14:paraId="3AA93632" w14:textId="77777777" w:rsidR="00BA2D05" w:rsidRDefault="0016058C">
      <w:pPr>
        <w:ind w:firstLine="720"/>
        <w:rPr>
          <w:rFonts w:ascii="Palatino Linotype" w:hAnsi="Palatino Linotype"/>
        </w:rPr>
      </w:pPr>
      <w:r>
        <w:rPr>
          <w:rFonts w:ascii="Palatino Linotype" w:hAnsi="Palatino Linotype"/>
        </w:rPr>
        <w:t xml:space="preserve">First, the </w:t>
      </w:r>
      <w:r>
        <w:rPr>
          <w:rFonts w:ascii="Palatino Linotype" w:hAnsi="Palatino Linotype"/>
          <w:i/>
          <w:iCs/>
        </w:rPr>
        <w:t xml:space="preserve">Groundwork </w:t>
      </w:r>
      <w:r>
        <w:rPr>
          <w:rFonts w:ascii="Palatino Linotype" w:hAnsi="Palatino Linotype"/>
        </w:rPr>
        <w:t xml:space="preserve">is Kant’s most well-known and often referred to work of moral philosophy, so familiarity with it is important for following much of what is said about Kantian ethics. Second, it is a quite short work, so we can hope to get through it all in our time together (although it is </w:t>
      </w:r>
      <w:r>
        <w:rPr>
          <w:rFonts w:ascii="Palatino Linotype" w:hAnsi="Palatino Linotype"/>
          <w:i/>
          <w:iCs/>
        </w:rPr>
        <w:t xml:space="preserve">very </w:t>
      </w:r>
      <w:r>
        <w:rPr>
          <w:rFonts w:ascii="Palatino Linotype" w:hAnsi="Palatino Linotype"/>
        </w:rPr>
        <w:t xml:space="preserve">dense, and we might not have the chance to discuss Section III in much detail, depending upon how things pan out). Third, as its name suggests, it is in some ways the </w:t>
      </w:r>
      <w:r>
        <w:rPr>
          <w:rFonts w:ascii="Palatino Linotype" w:hAnsi="Palatino Linotype"/>
          <w:i/>
          <w:iCs/>
        </w:rPr>
        <w:t xml:space="preserve">foundation </w:t>
      </w:r>
      <w:r>
        <w:rPr>
          <w:rFonts w:ascii="Palatino Linotype" w:hAnsi="Palatino Linotype"/>
        </w:rPr>
        <w:t>of most of Kant’s moral philosophy, which s</w:t>
      </w:r>
      <w:r>
        <w:rPr>
          <w:rFonts w:ascii="Palatino Linotype" w:hAnsi="Palatino Linotype"/>
        </w:rPr>
        <w:t xml:space="preserve">eems like a sensible place to start. </w:t>
      </w:r>
    </w:p>
    <w:p w14:paraId="0890F5DB" w14:textId="77777777" w:rsidR="00BA2D05" w:rsidRDefault="0016058C">
      <w:pPr>
        <w:ind w:firstLine="720"/>
        <w:rPr>
          <w:rFonts w:ascii="Palatino Linotype" w:hAnsi="Palatino Linotype"/>
        </w:rPr>
      </w:pPr>
      <w:r>
        <w:rPr>
          <w:rFonts w:ascii="Palatino Linotype" w:hAnsi="Palatino Linotype"/>
        </w:rPr>
        <w:t xml:space="preserve">But even though I think these reasons are sufficient to justify taking the </w:t>
      </w:r>
      <w:r>
        <w:rPr>
          <w:rFonts w:ascii="Palatino Linotype" w:hAnsi="Palatino Linotype"/>
          <w:i/>
          <w:iCs/>
        </w:rPr>
        <w:t xml:space="preserve">Groundwork </w:t>
      </w:r>
      <w:r>
        <w:rPr>
          <w:rFonts w:ascii="Palatino Linotype" w:hAnsi="Palatino Linotype"/>
        </w:rPr>
        <w:t xml:space="preserve">as our text, it is important to remember that the </w:t>
      </w:r>
      <w:r>
        <w:rPr>
          <w:rFonts w:ascii="Palatino Linotype" w:hAnsi="Palatino Linotype"/>
          <w:i/>
          <w:iCs/>
        </w:rPr>
        <w:t xml:space="preserve">Groundwork </w:t>
      </w:r>
      <w:r>
        <w:rPr>
          <w:rFonts w:ascii="Palatino Linotype" w:hAnsi="Palatino Linotype"/>
        </w:rPr>
        <w:t xml:space="preserve">is not the </w:t>
      </w:r>
      <w:r>
        <w:rPr>
          <w:rFonts w:ascii="Palatino Linotype" w:hAnsi="Palatino Linotype"/>
          <w:i/>
          <w:iCs/>
        </w:rPr>
        <w:t xml:space="preserve">whole </w:t>
      </w:r>
      <w:r>
        <w:rPr>
          <w:rFonts w:ascii="Palatino Linotype" w:hAnsi="Palatino Linotype"/>
        </w:rPr>
        <w:t xml:space="preserve">of Kant’s moral philosophy, and in fact it doesn’t even touch upon several of the most important ideas which Kant’s moral philosophy appeals to elsewhere. In the lectures, and probably in the course of our seminars (and more informal) discussions, I will try to point out some of the places in which what Kant says elsewhere qualifies, or contradicts, or sheds light upon what is going on in the </w:t>
      </w:r>
      <w:r>
        <w:rPr>
          <w:rFonts w:ascii="Palatino Linotype" w:hAnsi="Palatino Linotype"/>
          <w:i/>
          <w:iCs/>
        </w:rPr>
        <w:t>Groundwork</w:t>
      </w:r>
      <w:r>
        <w:rPr>
          <w:rFonts w:ascii="Palatino Linotype" w:hAnsi="Palatino Linotype"/>
        </w:rPr>
        <w:t>; but some import</w:t>
      </w:r>
      <w:r>
        <w:rPr>
          <w:rFonts w:ascii="Palatino Linotype" w:hAnsi="Palatino Linotype"/>
        </w:rPr>
        <w:t xml:space="preserve">ant ideas which are not touched upon in that text will have to be left aside. One general thing to bear in mind is that because the </w:t>
      </w:r>
      <w:r>
        <w:rPr>
          <w:rFonts w:ascii="Palatino Linotype" w:hAnsi="Palatino Linotype"/>
          <w:i/>
          <w:iCs/>
        </w:rPr>
        <w:t xml:space="preserve">Groundwork </w:t>
      </w:r>
      <w:r>
        <w:rPr>
          <w:rFonts w:ascii="Palatino Linotype" w:hAnsi="Palatino Linotype"/>
        </w:rPr>
        <w:t>is not all of what Kant has to say about ethics, and since it is designed to play a particular (foundational, theoretical underpinning) role in his ethical ‘system’, we should be cautious: Kant will emphasise things here which are less prominent in his moral philosophy taken overall, so we should not assume (as many of his critics do) that he fetishizes the things he</w:t>
      </w:r>
      <w:r>
        <w:rPr>
          <w:rFonts w:ascii="Palatino Linotype" w:hAnsi="Palatino Linotype"/>
        </w:rPr>
        <w:t xml:space="preserve"> devotes most space to in this work; and we should not assume (as, again, many of his critics do) that themes which are not discussed here are ignored by Kant.</w:t>
      </w:r>
    </w:p>
    <w:p w14:paraId="3C34964B" w14:textId="77777777" w:rsidR="00BA2D05" w:rsidRDefault="0016058C">
      <w:pPr>
        <w:ind w:firstLine="720"/>
        <w:rPr>
          <w:rFonts w:ascii="Palatino Linotype" w:hAnsi="Palatino Linotype"/>
        </w:rPr>
      </w:pPr>
      <w:r>
        <w:rPr>
          <w:rFonts w:ascii="Palatino Linotype" w:hAnsi="Palatino Linotype"/>
        </w:rPr>
        <w:t xml:space="preserve">I have said something about the wide-ranging nature of Kant’s work, but I also said that he is a </w:t>
      </w:r>
      <w:r>
        <w:rPr>
          <w:rFonts w:ascii="Palatino Linotype" w:hAnsi="Palatino Linotype"/>
          <w:i/>
          <w:iCs/>
        </w:rPr>
        <w:t>systematic</w:t>
      </w:r>
      <w:r>
        <w:rPr>
          <w:rFonts w:ascii="Palatino Linotype" w:hAnsi="Palatino Linotype"/>
        </w:rPr>
        <w:t xml:space="preserve"> philosopher. He likes to present his ideas as interconnected and interdependent, building on some fundamental philosophical principles. This tendency – in fact it is stronger than that: Kant sometimes seems </w:t>
      </w:r>
      <w:r>
        <w:rPr>
          <w:rFonts w:ascii="Palatino Linotype" w:hAnsi="Palatino Linotype"/>
          <w:i/>
          <w:iCs/>
        </w:rPr>
        <w:t>obsessed</w:t>
      </w:r>
      <w:r>
        <w:rPr>
          <w:rFonts w:ascii="Palatino Linotype" w:hAnsi="Palatino Linotype"/>
        </w:rPr>
        <w:t xml:space="preserve"> with fitting things into a big overall structure – often leads Kant into mistakes and contributes to making his work even harder to understand than it needs to be, as he strains to force ideas into the straitjacket of the grand overall structure.</w:t>
      </w:r>
      <w:r>
        <w:rPr>
          <w:rStyle w:val="FootnoteReference"/>
          <w:rFonts w:ascii="Palatino Linotype" w:hAnsi="Palatino Linotype"/>
        </w:rPr>
        <w:footnoteReference w:id="2"/>
      </w:r>
      <w:r>
        <w:rPr>
          <w:rFonts w:ascii="Palatino Linotype" w:hAnsi="Palatino Linotype"/>
        </w:rPr>
        <w:t xml:space="preserve"> But if he sometimes takes this too far, there is also, I think, </w:t>
      </w:r>
      <w:r>
        <w:rPr>
          <w:rFonts w:ascii="Palatino Linotype" w:hAnsi="Palatino Linotype"/>
        </w:rPr>
        <w:lastRenderedPageBreak/>
        <w:t xml:space="preserve">something really important about the way he connects answers to some of the deepest questions in different areas of philosophy (for example, the connection he draws between action, morality, free will and determinism – a connection which relies (I shall try to show) on the doctrine of transcendental idealism (see esp. Lecture 6)). </w:t>
      </w:r>
    </w:p>
    <w:p w14:paraId="48769CE1" w14:textId="77777777" w:rsidR="00BA2D05" w:rsidRDefault="0016058C">
      <w:pPr>
        <w:ind w:firstLine="720"/>
        <w:rPr>
          <w:rFonts w:ascii="Palatino Linotype" w:hAnsi="Palatino Linotype"/>
        </w:rPr>
      </w:pPr>
      <w:r>
        <w:rPr>
          <w:rFonts w:ascii="Palatino Linotype" w:hAnsi="Palatino Linotype"/>
        </w:rPr>
        <w:t xml:space="preserve">At least according to the interpretation(s) of the </w:t>
      </w:r>
      <w:r>
        <w:rPr>
          <w:rFonts w:ascii="Palatino Linotype" w:hAnsi="Palatino Linotype"/>
          <w:i/>
          <w:iCs/>
        </w:rPr>
        <w:t xml:space="preserve">Groundwork </w:t>
      </w:r>
      <w:r>
        <w:rPr>
          <w:rFonts w:ascii="Palatino Linotype" w:hAnsi="Palatino Linotype"/>
        </w:rPr>
        <w:t xml:space="preserve">which I will be offering for your consideration, the arguments of the </w:t>
      </w:r>
      <w:r>
        <w:rPr>
          <w:rFonts w:ascii="Palatino Linotype" w:hAnsi="Palatino Linotype"/>
          <w:i/>
          <w:iCs/>
        </w:rPr>
        <w:t xml:space="preserve">Groundwork </w:t>
      </w:r>
      <w:r>
        <w:rPr>
          <w:rFonts w:ascii="Palatino Linotype" w:hAnsi="Palatino Linotype"/>
        </w:rPr>
        <w:t xml:space="preserve">depend upon metaphysical ideas which he articulates and defends most fully in the </w:t>
      </w:r>
      <w:r>
        <w:rPr>
          <w:rFonts w:ascii="Palatino Linotype" w:hAnsi="Palatino Linotype"/>
          <w:i/>
          <w:iCs/>
        </w:rPr>
        <w:t>Critique of Pure Reason</w:t>
      </w:r>
      <w:r>
        <w:rPr>
          <w:rFonts w:ascii="Palatino Linotype" w:hAnsi="Palatino Linotype"/>
        </w:rPr>
        <w:t>. There is a tradition of interpreting Kant’s moral philosophy in which an attempt is made to interpret or reconstruct his ethics with very little reliance on his ‘theoretical’ philosophy (his epistemology and metaphysics).</w:t>
      </w:r>
      <w:r>
        <w:rPr>
          <w:rStyle w:val="FootnoteReference"/>
          <w:rFonts w:ascii="Palatino Linotype" w:hAnsi="Palatino Linotype"/>
        </w:rPr>
        <w:footnoteReference w:id="3"/>
      </w:r>
      <w:r>
        <w:rPr>
          <w:rFonts w:ascii="Palatino Linotype" w:hAnsi="Palatino Linotype"/>
        </w:rPr>
        <w:t xml:space="preserve"> But I do not think we can sustain those interpretations, for reasons which I’ll try to explain in the lectures – and which might well come up in our seminar discussions. Put briefly, I think that Kant’s ethics – and especially the notorious ‘categorical imperative’ – amounts to a very strange set of moral ideas, </w:t>
      </w:r>
      <w:r>
        <w:rPr>
          <w:rFonts w:ascii="Palatino Linotype" w:hAnsi="Palatino Linotype"/>
          <w:i/>
          <w:iCs/>
        </w:rPr>
        <w:t xml:space="preserve">unless we see them as motivated by the metaphysical picture he paints in the </w:t>
      </w:r>
      <w:r>
        <w:rPr>
          <w:rFonts w:ascii="Palatino Linotype" w:hAnsi="Palatino Linotype"/>
        </w:rPr>
        <w:t xml:space="preserve">Critique of Pure Reason. I’ll say more about what I mean as we go along. But if I am right, then it is important not to </w:t>
      </w:r>
      <w:r>
        <w:rPr>
          <w:rFonts w:ascii="Palatino Linotype" w:hAnsi="Palatino Linotype"/>
        </w:rPr>
        <w:t xml:space="preserve">just study Kant’s ethics in isolation, but to see his moral philosophy in the context of his broader ideas, as we shall do in this module. </w:t>
      </w:r>
    </w:p>
    <w:p w14:paraId="096D3138" w14:textId="77777777" w:rsidR="00BA2D05" w:rsidRDefault="0016058C">
      <w:pPr>
        <w:ind w:firstLine="720"/>
        <w:rPr>
          <w:rFonts w:ascii="Palatino Linotype" w:hAnsi="Palatino Linotype"/>
        </w:rPr>
      </w:pPr>
      <w:r>
        <w:rPr>
          <w:rFonts w:ascii="Palatino Linotype" w:hAnsi="Palatino Linotype"/>
        </w:rPr>
        <w:t xml:space="preserve">I have already said what </w:t>
      </w:r>
      <w:r>
        <w:rPr>
          <w:rFonts w:ascii="Palatino Linotype" w:hAnsi="Palatino Linotype"/>
          <w:i/>
          <w:iCs/>
        </w:rPr>
        <w:t>I think</w:t>
      </w:r>
      <w:r>
        <w:rPr>
          <w:rFonts w:ascii="Palatino Linotype" w:hAnsi="Palatino Linotype"/>
        </w:rPr>
        <w:t xml:space="preserve"> at various points, and I will continue to do so as I give you a story about how to understand the material in lectures. You will be reading the texts I am talking about (and when I refer to something I haven’t listed as reading, I’ll give a reference so that you can go and look it up), so you can judge for yourself whether what I am saying is a fair representation – and you will be reading commentary literature by others which will present a widely diverging range of interpretations, published by ex</w:t>
      </w:r>
      <w:r>
        <w:rPr>
          <w:rFonts w:ascii="Palatino Linotype" w:hAnsi="Palatino Linotype"/>
        </w:rPr>
        <w:t xml:space="preserve">perts, which will often disagree with what I say (and with each other). I </w:t>
      </w:r>
      <w:proofErr w:type="gramStart"/>
      <w:r>
        <w:rPr>
          <w:rFonts w:ascii="Palatino Linotype" w:hAnsi="Palatino Linotype"/>
        </w:rPr>
        <w:t>have to</w:t>
      </w:r>
      <w:proofErr w:type="gramEnd"/>
      <w:r>
        <w:rPr>
          <w:rFonts w:ascii="Palatino Linotype" w:hAnsi="Palatino Linotype"/>
        </w:rPr>
        <w:t xml:space="preserve"> make decisions about which interpretations to build the module and the lectures around: a purely neutral approach to these things is impossible. But a crucial part of your task is to take a </w:t>
      </w:r>
      <w:r>
        <w:rPr>
          <w:rFonts w:ascii="Palatino Linotype" w:hAnsi="Palatino Linotype"/>
          <w:i/>
          <w:iCs/>
        </w:rPr>
        <w:t xml:space="preserve">critical </w:t>
      </w:r>
      <w:r>
        <w:rPr>
          <w:rFonts w:ascii="Palatino Linotype" w:hAnsi="Palatino Linotype"/>
        </w:rPr>
        <w:t>approach to the material, which includes not believing what I say just because I say it: we are all adult philosophers, and even though I’ve probably read more than you have, and spent longer thinking about the ideas and working ou</w:t>
      </w:r>
      <w:r>
        <w:rPr>
          <w:rFonts w:ascii="Palatino Linotype" w:hAnsi="Palatino Linotype"/>
        </w:rPr>
        <w:t xml:space="preserve">t what’s going on, you should challenge interpretations or ideas which I present you with if your reading of the texts or secondary literature suggest that my take on the material is a mis-reading: the conversation that will open up is itself a valuable philosophical exchange of ideas. For those who are not confident about reaching their own view of what the text is saying at first, the interpretations I present in the lectures are intended to be a </w:t>
      </w:r>
      <w:r>
        <w:rPr>
          <w:rFonts w:ascii="Palatino Linotype" w:hAnsi="Palatino Linotype"/>
          <w:i/>
          <w:iCs/>
        </w:rPr>
        <w:t>way in</w:t>
      </w:r>
      <w:r>
        <w:rPr>
          <w:rFonts w:ascii="Palatino Linotype" w:hAnsi="Palatino Linotype"/>
        </w:rPr>
        <w:t xml:space="preserve">, at least an initial idea about what </w:t>
      </w:r>
      <w:r>
        <w:rPr>
          <w:rFonts w:ascii="Palatino Linotype" w:hAnsi="Palatino Linotype"/>
          <w:i/>
          <w:iCs/>
        </w:rPr>
        <w:t>might</w:t>
      </w:r>
      <w:r>
        <w:rPr>
          <w:rFonts w:ascii="Palatino Linotype" w:hAnsi="Palatino Linotype"/>
        </w:rPr>
        <w:t xml:space="preserve"> be going </w:t>
      </w:r>
      <w:r>
        <w:rPr>
          <w:rFonts w:ascii="Palatino Linotype" w:hAnsi="Palatino Linotype"/>
        </w:rPr>
        <w:t xml:space="preserve">on, which you can question and perhaps revise later on as you start to feel more comfortable reading the texts and thinking through the ideas for yourself. </w:t>
      </w:r>
    </w:p>
    <w:p w14:paraId="3D05DDC7" w14:textId="77777777" w:rsidR="00BA2D05" w:rsidRDefault="0016058C">
      <w:pPr>
        <w:pStyle w:val="Heading1"/>
        <w:rPr>
          <w:rFonts w:ascii="Palatino Linotype" w:hAnsi="Palatino Linotype"/>
          <w:sz w:val="28"/>
          <w:szCs w:val="28"/>
        </w:rPr>
      </w:pPr>
      <w:r>
        <w:rPr>
          <w:rFonts w:ascii="Palatino Linotype" w:hAnsi="Palatino Linotype"/>
          <w:sz w:val="28"/>
          <w:szCs w:val="28"/>
        </w:rPr>
        <w:lastRenderedPageBreak/>
        <w:t>Lectures and Seminars</w:t>
      </w:r>
    </w:p>
    <w:p w14:paraId="2519EA1F" w14:textId="77777777" w:rsidR="00BA2D05" w:rsidRDefault="0016058C">
      <w:pPr>
        <w:rPr>
          <w:rFonts w:ascii="Palatino Linotype" w:hAnsi="Palatino Linotype"/>
        </w:rPr>
      </w:pPr>
      <w:r>
        <w:rPr>
          <w:rFonts w:ascii="Palatino Linotype" w:hAnsi="Palatino Linotype"/>
        </w:rPr>
        <w:t>Like most 2</w:t>
      </w:r>
      <w:r>
        <w:rPr>
          <w:rFonts w:ascii="Palatino Linotype" w:hAnsi="Palatino Linotype"/>
          <w:vertAlign w:val="superscript"/>
        </w:rPr>
        <w:t>nd</w:t>
      </w:r>
      <w:r>
        <w:rPr>
          <w:rFonts w:ascii="Palatino Linotype" w:hAnsi="Palatino Linotype"/>
        </w:rPr>
        <w:t xml:space="preserve"> Year Key Ideas modules, this one will involve one two-hour lecture session each week, in Weeks 2 – 10, and one hour-long seminar (well, fifty minutes: we should start everything – including lectures – at five-past and finish at five-to the hour) in the same weeks. </w:t>
      </w:r>
    </w:p>
    <w:p w14:paraId="5D1F50A4" w14:textId="77777777" w:rsidR="00BA2D05" w:rsidRDefault="0016058C">
      <w:pPr>
        <w:rPr>
          <w:rFonts w:ascii="Palatino Linotype" w:hAnsi="Palatino Linotype"/>
        </w:rPr>
      </w:pPr>
      <w:r>
        <w:rPr>
          <w:rFonts w:ascii="Palatino Linotype" w:hAnsi="Palatino Linotype"/>
        </w:rPr>
        <w:tab/>
        <w:t xml:space="preserve">I usually say that you should read the essential reading before the lecture. But for this module, you might benefit from seeing the lecture first. </w:t>
      </w:r>
    </w:p>
    <w:p w14:paraId="1565879C" w14:textId="77777777" w:rsidR="00BA2D05" w:rsidRDefault="0016058C">
      <w:pPr>
        <w:rPr>
          <w:rFonts w:ascii="Palatino Linotype" w:hAnsi="Palatino Linotype"/>
        </w:rPr>
      </w:pPr>
      <w:r>
        <w:rPr>
          <w:rFonts w:ascii="Palatino Linotype" w:hAnsi="Palatino Linotype"/>
        </w:rPr>
        <w:tab/>
        <w:t xml:space="preserve">In lectures I will try to explain things. These texts – and the arguments and ideas we are dealing with – are dense and challenging, so I fully expect that you will need me to at least get you started feeling your way into what is going on each week. When we are reading the </w:t>
      </w:r>
      <w:r>
        <w:rPr>
          <w:rFonts w:ascii="Palatino Linotype" w:hAnsi="Palatino Linotype"/>
          <w:i/>
          <w:iCs/>
        </w:rPr>
        <w:t>Critique of Pure Reason</w:t>
      </w:r>
      <w:r>
        <w:rPr>
          <w:rFonts w:ascii="Palatino Linotype" w:hAnsi="Palatino Linotype"/>
        </w:rPr>
        <w:t xml:space="preserve"> you will, I’m sure, feel this very strongly. But the </w:t>
      </w:r>
      <w:r>
        <w:rPr>
          <w:rFonts w:ascii="Palatino Linotype" w:hAnsi="Palatino Linotype"/>
          <w:i/>
          <w:iCs/>
        </w:rPr>
        <w:t>Groundwork</w:t>
      </w:r>
      <w:r>
        <w:rPr>
          <w:rFonts w:ascii="Palatino Linotype" w:hAnsi="Palatino Linotype"/>
        </w:rPr>
        <w:t xml:space="preserve"> is also very dense, and you will go wrong if you assume that you already know what it says because you have ‘done Kant’s ethics’ before, at A Level or in some other context. What is </w:t>
      </w:r>
      <w:proofErr w:type="gramStart"/>
      <w:r>
        <w:rPr>
          <w:rFonts w:ascii="Palatino Linotype" w:hAnsi="Palatino Linotype"/>
        </w:rPr>
        <w:t>actually going</w:t>
      </w:r>
      <w:proofErr w:type="gramEnd"/>
      <w:r>
        <w:rPr>
          <w:rFonts w:ascii="Palatino Linotype" w:hAnsi="Palatino Linotype"/>
        </w:rPr>
        <w:t xml:space="preserve"> on in Kant’s moral philosophy is not what is often </w:t>
      </w:r>
      <w:r>
        <w:rPr>
          <w:rFonts w:ascii="Palatino Linotype" w:hAnsi="Palatino Linotype"/>
          <w:i/>
          <w:iCs/>
        </w:rPr>
        <w:t>said to be</w:t>
      </w:r>
      <w:r>
        <w:rPr>
          <w:rFonts w:ascii="Palatino Linotype" w:hAnsi="Palatino Linotype"/>
        </w:rPr>
        <w:t xml:space="preserve"> going on it, even by people who are teaching it. (For example, I’ve heard of teachers telling their students that the Categorical Imperative is basically the ‘Golden</w:t>
      </w:r>
      <w:r>
        <w:rPr>
          <w:rFonts w:ascii="Palatino Linotype" w:hAnsi="Palatino Linotype"/>
        </w:rPr>
        <w:t xml:space="preserve"> Rule’ – ‘do unto others as you want them to do unto you’ – whereas Kant </w:t>
      </w:r>
      <w:r>
        <w:rPr>
          <w:rFonts w:ascii="Palatino Linotype" w:hAnsi="Palatino Linotype"/>
          <w:i/>
          <w:iCs/>
        </w:rPr>
        <w:t>explicitly</w:t>
      </w:r>
      <w:r>
        <w:rPr>
          <w:rFonts w:ascii="Palatino Linotype" w:hAnsi="Palatino Linotype"/>
        </w:rPr>
        <w:t xml:space="preserve"> tells his reader that this is </w:t>
      </w:r>
      <w:r>
        <w:rPr>
          <w:rFonts w:ascii="Palatino Linotype" w:hAnsi="Palatino Linotype"/>
          <w:i/>
          <w:iCs/>
        </w:rPr>
        <w:t>not</w:t>
      </w:r>
      <w:r>
        <w:rPr>
          <w:rFonts w:ascii="Palatino Linotype" w:hAnsi="Palatino Linotype"/>
        </w:rPr>
        <w:t xml:space="preserve"> what he means (in a footnote: </w:t>
      </w:r>
      <w:r>
        <w:rPr>
          <w:rFonts w:ascii="Palatino Linotype" w:hAnsi="Palatino Linotype"/>
          <w:i/>
          <w:iCs/>
        </w:rPr>
        <w:t>G</w:t>
      </w:r>
      <w:r>
        <w:rPr>
          <w:rFonts w:ascii="Palatino Linotype" w:hAnsi="Palatino Linotype"/>
        </w:rPr>
        <w:t xml:space="preserve">: 430fn).) So, you should approach the material as if for the first time. I will help you get an idea of what might be going on. But you should not take </w:t>
      </w:r>
      <w:r>
        <w:rPr>
          <w:rFonts w:ascii="Palatino Linotype" w:hAnsi="Palatino Linotype"/>
          <w:i/>
          <w:iCs/>
        </w:rPr>
        <w:t>my</w:t>
      </w:r>
      <w:r>
        <w:rPr>
          <w:rFonts w:ascii="Palatino Linotype" w:hAnsi="Palatino Linotype"/>
        </w:rPr>
        <w:t xml:space="preserve"> word as Gospel truth, either: my intention is to give you a version of the ideas to get your head around; once you’ve done that, you can be more reflective about whether my version is the correct one.       </w:t>
      </w:r>
    </w:p>
    <w:p w14:paraId="731031F4" w14:textId="77777777" w:rsidR="00BA2D05" w:rsidRDefault="0016058C">
      <w:pPr>
        <w:ind w:firstLine="720"/>
        <w:rPr>
          <w:rFonts w:ascii="Palatino Linotype" w:hAnsi="Palatino Linotype"/>
        </w:rPr>
      </w:pPr>
      <w:r>
        <w:rPr>
          <w:rFonts w:ascii="Palatino Linotype" w:hAnsi="Palatino Linotype"/>
        </w:rPr>
        <w:t xml:space="preserve">You should stop me to ask clarificatory questions whenever necessary, and I will pause at various points to invite questions, too. But mostly, I will be telling a story in the lectures: the story of how a set of ideas fit together, and what (some of) the challenges to those ideas might be, and perhaps how they might be met. This should give you plenty to think about as you prepare for the seminar that week. </w:t>
      </w:r>
    </w:p>
    <w:p w14:paraId="4F594604" w14:textId="77777777" w:rsidR="00BA2D05" w:rsidRDefault="0016058C">
      <w:pPr>
        <w:ind w:firstLine="720"/>
        <w:rPr>
          <w:rFonts w:ascii="Palatino Linotype" w:hAnsi="Palatino Linotype"/>
        </w:rPr>
      </w:pPr>
      <w:r>
        <w:rPr>
          <w:rFonts w:ascii="Palatino Linotype" w:hAnsi="Palatino Linotype"/>
        </w:rPr>
        <w:t xml:space="preserve">After the lecture, you should write up a report (in complete sentence prose – </w:t>
      </w:r>
      <w:r>
        <w:rPr>
          <w:rFonts w:ascii="Palatino Linotype" w:hAnsi="Palatino Linotype"/>
          <w:i/>
          <w:iCs/>
        </w:rPr>
        <w:t>not</w:t>
      </w:r>
      <w:r>
        <w:rPr>
          <w:rFonts w:ascii="Palatino Linotype" w:hAnsi="Palatino Linotype"/>
        </w:rPr>
        <w:t xml:space="preserve"> bullet points – and in your own words) of what the key arguments and critical points are (you should do this as soon as possible, while the lecture is still fresh in your mind). This will not only act as a record of what you have taken from the lecture; it will also highlight to you where you need to do some more work to understand something (if you find yourself not knowing quite what to write down about a particular point, that shows that you need to go back to the reading, or spend some time thinking</w:t>
      </w:r>
      <w:r>
        <w:rPr>
          <w:rFonts w:ascii="Palatino Linotype" w:hAnsi="Palatino Linotype"/>
        </w:rPr>
        <w:t xml:space="preserve"> through what lead up to what I said, or write to me, or come along to my office hour): make a note of what you need to return to, and then continue to write up what you </w:t>
      </w:r>
      <w:r>
        <w:rPr>
          <w:rFonts w:ascii="Palatino Linotype" w:hAnsi="Palatino Linotype"/>
          <w:i/>
          <w:iCs/>
        </w:rPr>
        <w:t>do</w:t>
      </w:r>
      <w:r>
        <w:rPr>
          <w:rFonts w:ascii="Palatino Linotype" w:hAnsi="Palatino Linotype"/>
        </w:rPr>
        <w:t xml:space="preserve"> understand (don’t get side-tracked at that moment by worrying about the missing bit, at the cost of recording what you can – and you might find that writing up (= thinking about) the other material sheds some light on what you didn’t get, in the end). Make a note also of your own ideas about the material – these notes will not only give </w:t>
      </w:r>
      <w:r>
        <w:rPr>
          <w:rFonts w:ascii="Palatino Linotype" w:hAnsi="Palatino Linotype"/>
        </w:rPr>
        <w:t xml:space="preserve">you things to try out in seminars (having thought them through a bit more), but will also add up to a stock of ideas you can return to when you are thinking about writing your essay for the module, when you need to work out what you have something to say about (because a good essay is one which develops an </w:t>
      </w:r>
      <w:r>
        <w:rPr>
          <w:rFonts w:ascii="Palatino Linotype" w:hAnsi="Palatino Linotype"/>
          <w:i/>
          <w:iCs/>
        </w:rPr>
        <w:t>argument</w:t>
      </w:r>
      <w:r>
        <w:rPr>
          <w:rFonts w:ascii="Palatino Linotype" w:hAnsi="Palatino Linotype"/>
        </w:rPr>
        <w:t xml:space="preserve">, rather than just regurgitating ideas from the lecture!).  </w:t>
      </w:r>
    </w:p>
    <w:p w14:paraId="2EDFE258" w14:textId="77777777" w:rsidR="00BA2D05" w:rsidRDefault="0016058C">
      <w:pPr>
        <w:rPr>
          <w:rFonts w:ascii="Palatino Linotype" w:hAnsi="Palatino Linotype"/>
        </w:rPr>
      </w:pPr>
      <w:r>
        <w:rPr>
          <w:rFonts w:ascii="Palatino Linotype" w:hAnsi="Palatino Linotype"/>
        </w:rPr>
        <w:tab/>
      </w:r>
      <w:r>
        <w:rPr>
          <w:rFonts w:ascii="Palatino Linotype" w:hAnsi="Palatino Linotype"/>
        </w:rPr>
        <w:t xml:space="preserve"> I will start each seminar by asking for and answering </w:t>
      </w:r>
      <w:r>
        <w:rPr>
          <w:rFonts w:ascii="Palatino Linotype" w:hAnsi="Palatino Linotype"/>
          <w:i/>
          <w:iCs/>
        </w:rPr>
        <w:t>clarificatory</w:t>
      </w:r>
      <w:r>
        <w:rPr>
          <w:rFonts w:ascii="Palatino Linotype" w:hAnsi="Palatino Linotype"/>
        </w:rPr>
        <w:t xml:space="preserve"> questions: things I said in the lecture or which you found in the reading which you don’t understand. (Ideally </w:t>
      </w:r>
      <w:r>
        <w:rPr>
          <w:rFonts w:ascii="Palatino Linotype" w:hAnsi="Palatino Linotype"/>
        </w:rPr>
        <w:lastRenderedPageBreak/>
        <w:t>you would raise these questions in the lecture or office hour, rather than waiting for the seminar, so that you can progress with thinking about the ideas once you understand them in advance of the seminar. But some questions might not arise until close to the seminar, as you reflect on things, and even if you could have asked ear</w:t>
      </w:r>
      <w:r>
        <w:rPr>
          <w:rFonts w:ascii="Palatino Linotype" w:hAnsi="Palatino Linotype"/>
        </w:rPr>
        <w:t xml:space="preserve">lier and didn’t, it is much better to ask in the seminar than not at all!) Then we will move on to working through the arguments and ideas in a bit more detail. This is where you can try out your arguments and test your ideas in conversation, so you should make the most of this (apart from being the essence of philosophy, it is the best way of working out what is promising as an argument to perhaps develop in an essay, and how that development might need to go). </w:t>
      </w:r>
    </w:p>
    <w:p w14:paraId="5DFB0A1B" w14:textId="77777777" w:rsidR="00BA2D05" w:rsidRDefault="0016058C">
      <w:pPr>
        <w:rPr>
          <w:rFonts w:ascii="Palatino Linotype" w:hAnsi="Palatino Linotype"/>
        </w:rPr>
      </w:pPr>
      <w:r>
        <w:rPr>
          <w:rFonts w:ascii="Palatino Linotype" w:hAnsi="Palatino Linotype"/>
        </w:rPr>
        <w:tab/>
        <w:t xml:space="preserve">As soon as possible after your seminar, you should again write up a report of what was discussed, just as you did after the lecture. Important details will emerge in seminar discussions, and interesting ideas will be suggested, over and above what was said in lectures, and you shouldn’t lose these by not recording them. In lecture and </w:t>
      </w:r>
      <w:proofErr w:type="gramStart"/>
      <w:r>
        <w:rPr>
          <w:rFonts w:ascii="Palatino Linotype" w:hAnsi="Palatino Linotype"/>
        </w:rPr>
        <w:t>seminars</w:t>
      </w:r>
      <w:proofErr w:type="gramEnd"/>
      <w:r>
        <w:rPr>
          <w:rFonts w:ascii="Palatino Linotype" w:hAnsi="Palatino Linotype"/>
        </w:rPr>
        <w:t xml:space="preserve"> you will be rather distracted from listening, understanding and contributing if you are writing lots down. But writing things down soon afterwards can be the best of both worlds: you have notes to </w:t>
      </w:r>
      <w:proofErr w:type="gramStart"/>
      <w:r>
        <w:rPr>
          <w:rFonts w:ascii="Palatino Linotype" w:hAnsi="Palatino Linotype"/>
        </w:rPr>
        <w:t>refer back</w:t>
      </w:r>
      <w:proofErr w:type="gramEnd"/>
      <w:r>
        <w:rPr>
          <w:rFonts w:ascii="Palatino Linotype" w:hAnsi="Palatino Linotype"/>
        </w:rPr>
        <w:t xml:space="preserve"> to, but you have also been able to fully engage with the conversation of following the line of thought at the time. Writing things down once you have a complete overview of what was said at the end can also make it easier to see what turned out to be most relevant and what was, in fact, just a </w:t>
      </w:r>
      <w:r>
        <w:rPr>
          <w:rFonts w:ascii="Palatino Linotype" w:hAnsi="Palatino Linotype"/>
        </w:rPr>
        <w:t>passing comment which didn’t need to be retained, and how the ideas fit together, which can be reflected in how you write them up.</w:t>
      </w:r>
    </w:p>
    <w:p w14:paraId="02BF9A3C" w14:textId="77777777" w:rsidR="00BA2D05" w:rsidRDefault="0016058C">
      <w:pPr>
        <w:pStyle w:val="Heading1"/>
        <w:rPr>
          <w:rFonts w:ascii="Palatino Linotype" w:hAnsi="Palatino Linotype"/>
          <w:sz w:val="28"/>
          <w:szCs w:val="28"/>
        </w:rPr>
      </w:pPr>
      <w:r>
        <w:rPr>
          <w:rFonts w:ascii="Palatino Linotype" w:hAnsi="Palatino Linotype"/>
          <w:sz w:val="28"/>
          <w:szCs w:val="28"/>
        </w:rPr>
        <w:t>Assessments</w:t>
      </w:r>
    </w:p>
    <w:p w14:paraId="0B8C9CE8" w14:textId="77777777" w:rsidR="00BA2D05" w:rsidRDefault="0016058C">
      <w:pPr>
        <w:rPr>
          <w:rFonts w:ascii="Palatino Linotype" w:hAnsi="Palatino Linotype"/>
        </w:rPr>
      </w:pPr>
      <w:r>
        <w:rPr>
          <w:rFonts w:ascii="Palatino Linotype" w:hAnsi="Palatino Linotype"/>
        </w:rPr>
        <w:t xml:space="preserve">The summative assessment arrangements for this module are </w:t>
      </w:r>
      <w:proofErr w:type="gramStart"/>
      <w:r>
        <w:rPr>
          <w:rFonts w:ascii="Palatino Linotype" w:hAnsi="Palatino Linotype"/>
        </w:rPr>
        <w:t>similar to</w:t>
      </w:r>
      <w:proofErr w:type="gramEnd"/>
      <w:r>
        <w:rPr>
          <w:rFonts w:ascii="Palatino Linotype" w:hAnsi="Palatino Linotype"/>
        </w:rPr>
        <w:t xml:space="preserve"> those for most other 2</w:t>
      </w:r>
      <w:r>
        <w:rPr>
          <w:rFonts w:ascii="Palatino Linotype" w:hAnsi="Palatino Linotype"/>
          <w:vertAlign w:val="superscript"/>
        </w:rPr>
        <w:t>nd</w:t>
      </w:r>
      <w:r>
        <w:rPr>
          <w:rFonts w:ascii="Palatino Linotype" w:hAnsi="Palatino Linotype"/>
        </w:rPr>
        <w:t xml:space="preserve"> Year Key Ideas modules. Formative arrangements vary more from module to module.</w:t>
      </w:r>
    </w:p>
    <w:p w14:paraId="2C6C3119" w14:textId="77777777" w:rsidR="00BA2D05" w:rsidRDefault="00BA2D05">
      <w:pPr>
        <w:pStyle w:val="Heading3"/>
      </w:pPr>
    </w:p>
    <w:p w14:paraId="4DA45B1F" w14:textId="77777777" w:rsidR="00BA2D05" w:rsidRDefault="0016058C">
      <w:pPr>
        <w:pStyle w:val="Heading3"/>
        <w:rPr>
          <w:rFonts w:ascii="Palatino Linotype" w:hAnsi="Palatino Linotype"/>
        </w:rPr>
      </w:pPr>
      <w:r>
        <w:rPr>
          <w:rFonts w:ascii="Palatino Linotype" w:hAnsi="Palatino Linotype"/>
        </w:rPr>
        <w:t>Formative Assessments</w:t>
      </w:r>
    </w:p>
    <w:p w14:paraId="3548970E" w14:textId="77777777" w:rsidR="00BA2D05" w:rsidRDefault="0016058C">
      <w:pPr>
        <w:rPr>
          <w:rFonts w:ascii="Palatino Linotype" w:hAnsi="Palatino Linotype"/>
        </w:rPr>
      </w:pPr>
      <w:r>
        <w:rPr>
          <w:rFonts w:ascii="Palatino Linotype" w:hAnsi="Palatino Linotype"/>
        </w:rPr>
        <w:t xml:space="preserve">There will be two formative assessment opportunities for this module. </w:t>
      </w:r>
      <w:r>
        <w:rPr>
          <w:rFonts w:ascii="Palatino Linotype" w:hAnsi="Palatino Linotype"/>
          <w:b/>
          <w:bCs/>
        </w:rPr>
        <w:t>First</w:t>
      </w:r>
      <w:r>
        <w:rPr>
          <w:rFonts w:ascii="Palatino Linotype" w:hAnsi="Palatino Linotype"/>
        </w:rPr>
        <w:t xml:space="preserve">, you can send one of your lecture or seminar reports, written up after the lecture or seminar, to me in Weeks 2–3, and I will read over and give some comments on it. This should help to give you a sense of how well you are getting to grips with the discussion we are </w:t>
      </w:r>
      <w:proofErr w:type="gramStart"/>
      <w:r>
        <w:rPr>
          <w:rFonts w:ascii="Palatino Linotype" w:hAnsi="Palatino Linotype"/>
        </w:rPr>
        <w:t>having, and</w:t>
      </w:r>
      <w:proofErr w:type="gramEnd"/>
      <w:r>
        <w:rPr>
          <w:rFonts w:ascii="Palatino Linotype" w:hAnsi="Palatino Linotype"/>
        </w:rPr>
        <w:t xml:space="preserve"> should also help to guide you in how to write up your notes after lectures and seminars. </w:t>
      </w:r>
      <w:r>
        <w:rPr>
          <w:rFonts w:ascii="Palatino Linotype" w:hAnsi="Palatino Linotype"/>
          <w:b/>
          <w:bCs/>
        </w:rPr>
        <w:t>Second</w:t>
      </w:r>
      <w:r>
        <w:rPr>
          <w:rFonts w:ascii="Palatino Linotype" w:hAnsi="Palatino Linotype"/>
        </w:rPr>
        <w:t xml:space="preserve">, I will set a task later in the term which will help you to plan an essay for the module. </w:t>
      </w:r>
    </w:p>
    <w:p w14:paraId="3CD7CDB3" w14:textId="77777777" w:rsidR="00BA2D05" w:rsidRDefault="00BA2D05">
      <w:pPr>
        <w:rPr>
          <w:rFonts w:ascii="Palatino Linotype" w:hAnsi="Palatino Linotype"/>
        </w:rPr>
      </w:pPr>
    </w:p>
    <w:p w14:paraId="3DFB2F28" w14:textId="77777777" w:rsidR="00BA2D05" w:rsidRDefault="0016058C">
      <w:pPr>
        <w:pStyle w:val="Heading3"/>
        <w:rPr>
          <w:rFonts w:ascii="Palatino Linotype" w:hAnsi="Palatino Linotype"/>
        </w:rPr>
      </w:pPr>
      <w:r>
        <w:rPr>
          <w:rFonts w:ascii="Palatino Linotype" w:hAnsi="Palatino Linotype"/>
        </w:rPr>
        <w:t>Summative Assessments</w:t>
      </w:r>
    </w:p>
    <w:p w14:paraId="684CF748" w14:textId="77777777" w:rsidR="00BA2D05" w:rsidRDefault="0016058C">
      <w:pPr>
        <w:rPr>
          <w:rFonts w:ascii="Palatino Linotype" w:hAnsi="Palatino Linotype"/>
        </w:rPr>
      </w:pPr>
      <w:r>
        <w:rPr>
          <w:rFonts w:ascii="Palatino Linotype" w:hAnsi="Palatino Linotype"/>
        </w:rPr>
        <w:t xml:space="preserve">There will be a two-part summative assessment, comprising: </w:t>
      </w:r>
    </w:p>
    <w:p w14:paraId="6BB7789E" w14:textId="77777777" w:rsidR="00BA2D05" w:rsidRDefault="0016058C">
      <w:pPr>
        <w:pStyle w:val="ListParagraph"/>
        <w:numPr>
          <w:ilvl w:val="0"/>
          <w:numId w:val="1"/>
        </w:numPr>
        <w:rPr>
          <w:rFonts w:ascii="Palatino Linotype" w:hAnsi="Palatino Linotype"/>
        </w:rPr>
      </w:pPr>
      <w:r>
        <w:rPr>
          <w:rFonts w:ascii="Palatino Linotype" w:hAnsi="Palatino Linotype"/>
        </w:rPr>
        <w:t xml:space="preserve">An online ‘short answer’ exam, requiring you to answer five questions inviting explanations of key ideas or arguments from the module. Your answers should amount to no more than 1,500 words in </w:t>
      </w:r>
      <w:proofErr w:type="gramStart"/>
      <w:r>
        <w:rPr>
          <w:rFonts w:ascii="Palatino Linotype" w:hAnsi="Palatino Linotype"/>
        </w:rPr>
        <w:t>total, and</w:t>
      </w:r>
      <w:proofErr w:type="gramEnd"/>
      <w:r>
        <w:rPr>
          <w:rFonts w:ascii="Palatino Linotype" w:hAnsi="Palatino Linotype"/>
        </w:rPr>
        <w:t xml:space="preserve"> should be restricted to clearly and precisely explaining the ideas or arguments asked about – not critically assessing them. This element is worth 30% of your module mark.</w:t>
      </w:r>
    </w:p>
    <w:p w14:paraId="789B4213" w14:textId="77777777" w:rsidR="00BA2D05" w:rsidRDefault="0016058C">
      <w:pPr>
        <w:pStyle w:val="ListParagraph"/>
        <w:numPr>
          <w:ilvl w:val="0"/>
          <w:numId w:val="1"/>
        </w:numPr>
        <w:rPr>
          <w:rFonts w:ascii="Palatino Linotype" w:hAnsi="Palatino Linotype"/>
        </w:rPr>
      </w:pPr>
      <w:r>
        <w:rPr>
          <w:rFonts w:ascii="Palatino Linotype" w:hAnsi="Palatino Linotype"/>
        </w:rPr>
        <w:t xml:space="preserve">A </w:t>
      </w:r>
      <w:proofErr w:type="gramStart"/>
      <w:r>
        <w:rPr>
          <w:rFonts w:ascii="Palatino Linotype" w:hAnsi="Palatino Linotype"/>
        </w:rPr>
        <w:t>2,500 word</w:t>
      </w:r>
      <w:proofErr w:type="gramEnd"/>
      <w:r>
        <w:rPr>
          <w:rFonts w:ascii="Palatino Linotype" w:hAnsi="Palatino Linotype"/>
        </w:rPr>
        <w:t xml:space="preserve"> essay, answering one question chosen from a list provided (released around Week 4). This is where you should develop your ideas, critically assessing some of the ideas we have discussed. This element is worth 70% of your module mark.</w:t>
      </w:r>
    </w:p>
    <w:p w14:paraId="7742DCB1" w14:textId="77777777" w:rsidR="00BA2D05" w:rsidRDefault="0016058C">
      <w:pPr>
        <w:pStyle w:val="Heading1"/>
        <w:rPr>
          <w:rFonts w:ascii="Palatino Linotype" w:hAnsi="Palatino Linotype"/>
          <w:sz w:val="28"/>
          <w:szCs w:val="28"/>
        </w:rPr>
      </w:pPr>
      <w:r>
        <w:rPr>
          <w:rFonts w:ascii="Palatino Linotype" w:hAnsi="Palatino Linotype"/>
          <w:sz w:val="28"/>
          <w:szCs w:val="28"/>
        </w:rPr>
        <w:lastRenderedPageBreak/>
        <w:t>Reading and Topics Week by Week</w:t>
      </w:r>
    </w:p>
    <w:p w14:paraId="5B197400" w14:textId="77777777" w:rsidR="00BA2D05" w:rsidRDefault="00BA2D05">
      <w:pPr>
        <w:rPr>
          <w:rFonts w:ascii="Palatino Linotype" w:hAnsi="Palatino Linotype"/>
        </w:rPr>
      </w:pPr>
    </w:p>
    <w:p w14:paraId="7A840E05" w14:textId="77777777" w:rsidR="00BA2D05" w:rsidRDefault="0016058C">
      <w:pPr>
        <w:rPr>
          <w:rFonts w:ascii="Palatino Linotype" w:hAnsi="Palatino Linotype"/>
        </w:rPr>
      </w:pPr>
      <w:r>
        <w:rPr>
          <w:rFonts w:ascii="Palatino Linotype" w:hAnsi="Palatino Linotype"/>
        </w:rPr>
        <w:t xml:space="preserve">The primary texts for the module, from which most essential reading will be selected, and all of which are available online via the </w:t>
      </w:r>
      <w:proofErr w:type="gramStart"/>
      <w:r>
        <w:rPr>
          <w:rFonts w:ascii="Palatino Linotype" w:hAnsi="Palatino Linotype"/>
        </w:rPr>
        <w:t>Library</w:t>
      </w:r>
      <w:proofErr w:type="gramEnd"/>
      <w:r>
        <w:rPr>
          <w:rFonts w:ascii="Palatino Linotype" w:hAnsi="Palatino Linotype"/>
        </w:rPr>
        <w:t xml:space="preserve"> (links in titles) are:</w:t>
      </w:r>
    </w:p>
    <w:p w14:paraId="371AD6D8" w14:textId="77777777" w:rsidR="00BA2D05" w:rsidRDefault="00BA2D05">
      <w:pPr>
        <w:rPr>
          <w:rFonts w:ascii="Palatino Linotype" w:hAnsi="Palatino Linotype"/>
        </w:rPr>
      </w:pPr>
    </w:p>
    <w:p w14:paraId="1BB0EE38" w14:textId="77777777" w:rsidR="00BA2D05" w:rsidRDefault="0016058C">
      <w:pPr>
        <w:ind w:left="284" w:hanging="284"/>
        <w:rPr>
          <w:rFonts w:ascii="Palatino Linotype" w:hAnsi="Palatino Linotype"/>
        </w:rPr>
      </w:pPr>
      <w:r>
        <w:rPr>
          <w:rFonts w:ascii="Palatino Linotype" w:hAnsi="Palatino Linotype"/>
        </w:rPr>
        <w:t xml:space="preserve">Immanuel Kant, [1782/7]. </w:t>
      </w:r>
      <w:hyperlink r:id="rId10" w:history="1">
        <w:r>
          <w:rPr>
            <w:rStyle w:val="Hyperlink"/>
            <w:rFonts w:ascii="Palatino Linotype" w:hAnsi="Palatino Linotype"/>
            <w:i/>
            <w:iCs/>
          </w:rPr>
          <w:t>Critique of Pure Reason</w:t>
        </w:r>
      </w:hyperlink>
      <w:r>
        <w:rPr>
          <w:rFonts w:ascii="Palatino Linotype" w:hAnsi="Palatino Linotype"/>
        </w:rPr>
        <w:t>, trans. and eds. Paul Guyer &amp; Allen W. Wood (Cambridge: Cambridge University Press, 1998) [Referred to below as ‘</w:t>
      </w:r>
      <w:r>
        <w:rPr>
          <w:rFonts w:ascii="Palatino Linotype" w:hAnsi="Palatino Linotype"/>
          <w:b/>
          <w:bCs/>
          <w:i/>
          <w:iCs/>
        </w:rPr>
        <w:t>Critique of Pure Reason</w:t>
      </w:r>
      <w:r>
        <w:rPr>
          <w:rFonts w:ascii="Palatino Linotype" w:hAnsi="Palatino Linotype"/>
        </w:rPr>
        <w:t>’ and sometimes as ‘</w:t>
      </w:r>
      <w:r>
        <w:rPr>
          <w:rFonts w:ascii="Palatino Linotype" w:hAnsi="Palatino Linotype"/>
          <w:b/>
          <w:bCs/>
          <w:i/>
          <w:iCs/>
        </w:rPr>
        <w:t>CPR</w:t>
      </w:r>
      <w:r>
        <w:rPr>
          <w:rFonts w:ascii="Palatino Linotype" w:hAnsi="Palatino Linotype"/>
        </w:rPr>
        <w:t>’]</w:t>
      </w:r>
    </w:p>
    <w:p w14:paraId="6DAF9456" w14:textId="77777777" w:rsidR="00BA2D05" w:rsidRDefault="0016058C">
      <w:pPr>
        <w:ind w:left="284" w:hanging="284"/>
        <w:rPr>
          <w:rFonts w:ascii="Palatino Linotype" w:hAnsi="Palatino Linotype"/>
        </w:rPr>
      </w:pPr>
      <w:r>
        <w:rPr>
          <w:rFonts w:ascii="Palatino Linotype" w:hAnsi="Palatino Linotype"/>
        </w:rPr>
        <w:t xml:space="preserve">Immanuel Kant, [1783]. </w:t>
      </w:r>
      <w:hyperlink r:id="rId11" w:history="1">
        <w:r>
          <w:rPr>
            <w:rStyle w:val="Hyperlink"/>
            <w:rFonts w:ascii="Palatino Linotype" w:hAnsi="Palatino Linotype"/>
            <w:i/>
            <w:iCs/>
          </w:rPr>
          <w:t>Prolegomena to Any Future Metaphysics That Will Be Able to Come Forward as Science</w:t>
        </w:r>
      </w:hyperlink>
      <w:r>
        <w:rPr>
          <w:rFonts w:ascii="Palatino Linotype" w:hAnsi="Palatino Linotype"/>
        </w:rPr>
        <w:t>,</w:t>
      </w:r>
      <w:r>
        <w:rPr>
          <w:rFonts w:ascii="Palatino Linotype" w:hAnsi="Palatino Linotype"/>
          <w:i/>
          <w:iCs/>
        </w:rPr>
        <w:t xml:space="preserve"> </w:t>
      </w:r>
      <w:r>
        <w:rPr>
          <w:rFonts w:ascii="Palatino Linotype" w:hAnsi="Palatino Linotype"/>
        </w:rPr>
        <w:t xml:space="preserve">in Gary Hatfield (trans &amp; ed.), </w:t>
      </w:r>
      <w:r>
        <w:rPr>
          <w:rFonts w:ascii="Palatino Linotype" w:hAnsi="Palatino Linotype"/>
          <w:i/>
          <w:iCs/>
        </w:rPr>
        <w:t>Prolegomena to Any Future Metaphysics with selections from the Critique of Pure Reason</w:t>
      </w:r>
      <w:r>
        <w:rPr>
          <w:rFonts w:ascii="Palatino Linotype" w:hAnsi="Palatino Linotype"/>
        </w:rPr>
        <w:t xml:space="preserve"> (Cambridge: Cambridge University Press, revised ed. 2004) [Referred to below as ‘</w:t>
      </w:r>
      <w:r>
        <w:rPr>
          <w:rFonts w:ascii="Palatino Linotype" w:hAnsi="Palatino Linotype"/>
          <w:b/>
          <w:bCs/>
          <w:i/>
          <w:iCs/>
        </w:rPr>
        <w:t>Prolegomena</w:t>
      </w:r>
      <w:r>
        <w:rPr>
          <w:rFonts w:ascii="Palatino Linotype" w:hAnsi="Palatino Linotype"/>
        </w:rPr>
        <w:t>’]</w:t>
      </w:r>
    </w:p>
    <w:p w14:paraId="03DA97B7" w14:textId="77777777" w:rsidR="00BA2D05" w:rsidRDefault="0016058C">
      <w:pPr>
        <w:ind w:left="284" w:hanging="284"/>
        <w:rPr>
          <w:rFonts w:ascii="Palatino Linotype" w:hAnsi="Palatino Linotype"/>
        </w:rPr>
      </w:pPr>
      <w:r>
        <w:rPr>
          <w:rFonts w:ascii="Palatino Linotype" w:hAnsi="Palatino Linotype"/>
        </w:rPr>
        <w:t xml:space="preserve">Immanuel Kant, [1785]. </w:t>
      </w:r>
      <w:hyperlink r:id="rId12" w:history="1">
        <w:r>
          <w:rPr>
            <w:rStyle w:val="Hyperlink"/>
            <w:rFonts w:ascii="Palatino Linotype" w:hAnsi="Palatino Linotype"/>
            <w:i/>
            <w:iCs/>
          </w:rPr>
          <w:t>Groundwork of the Metaphysics of Morals</w:t>
        </w:r>
      </w:hyperlink>
      <w:r>
        <w:rPr>
          <w:rFonts w:ascii="Palatino Linotype" w:hAnsi="Palatino Linotype"/>
        </w:rPr>
        <w:t xml:space="preserve">, in Mary Gregor (trans. &amp; ed.) </w:t>
      </w:r>
      <w:r>
        <w:rPr>
          <w:rFonts w:ascii="Palatino Linotype" w:hAnsi="Palatino Linotype"/>
          <w:i/>
          <w:iCs/>
        </w:rPr>
        <w:t>Practical Philosophy</w:t>
      </w:r>
      <w:r>
        <w:rPr>
          <w:rFonts w:ascii="Palatino Linotype" w:hAnsi="Palatino Linotype"/>
        </w:rPr>
        <w:t xml:space="preserve"> (Cambridge: Cambridge University Press, 1999) [Referred to below as ‘</w:t>
      </w:r>
      <w:r>
        <w:rPr>
          <w:rFonts w:ascii="Palatino Linotype" w:hAnsi="Palatino Linotype"/>
          <w:b/>
          <w:bCs/>
          <w:i/>
          <w:iCs/>
        </w:rPr>
        <w:t>Groundwork</w:t>
      </w:r>
      <w:r>
        <w:rPr>
          <w:rFonts w:ascii="Palatino Linotype" w:hAnsi="Palatino Linotype"/>
        </w:rPr>
        <w:t>’ and sometimes as ‘</w:t>
      </w:r>
      <w:r>
        <w:rPr>
          <w:rFonts w:ascii="Palatino Linotype" w:hAnsi="Palatino Linotype"/>
          <w:b/>
          <w:bCs/>
          <w:i/>
          <w:iCs/>
        </w:rPr>
        <w:t>G</w:t>
      </w:r>
      <w:r>
        <w:rPr>
          <w:rFonts w:ascii="Palatino Linotype" w:hAnsi="Palatino Linotype"/>
        </w:rPr>
        <w:t>’]</w:t>
      </w:r>
    </w:p>
    <w:p w14:paraId="73FAED51" w14:textId="77777777" w:rsidR="00BA2D05" w:rsidRDefault="0016058C">
      <w:pPr>
        <w:ind w:left="284" w:hanging="284"/>
        <w:rPr>
          <w:rFonts w:ascii="Palatino Linotype" w:hAnsi="Palatino Linotype"/>
        </w:rPr>
      </w:pPr>
      <w:r>
        <w:rPr>
          <w:rFonts w:ascii="Palatino Linotype" w:hAnsi="Palatino Linotype"/>
        </w:rPr>
        <w:t xml:space="preserve">Immanuel Kant, [1787]. </w:t>
      </w:r>
      <w:hyperlink r:id="rId13" w:history="1">
        <w:r>
          <w:rPr>
            <w:rStyle w:val="Hyperlink"/>
            <w:rFonts w:ascii="Palatino Linotype" w:hAnsi="Palatino Linotype"/>
          </w:rPr>
          <w:t>‘On a Supposed Right to Lie from Philanthropy’</w:t>
        </w:r>
      </w:hyperlink>
      <w:r>
        <w:rPr>
          <w:rFonts w:ascii="Palatino Linotype" w:hAnsi="Palatino Linotype"/>
        </w:rPr>
        <w:t xml:space="preserve">, in Mary Gregor (trans. &amp; ed.) </w:t>
      </w:r>
      <w:r>
        <w:rPr>
          <w:rFonts w:ascii="Palatino Linotype" w:hAnsi="Palatino Linotype"/>
          <w:i/>
          <w:iCs/>
        </w:rPr>
        <w:t>Practical Philosophy</w:t>
      </w:r>
      <w:r>
        <w:rPr>
          <w:rFonts w:ascii="Palatino Linotype" w:hAnsi="Palatino Linotype"/>
        </w:rPr>
        <w:t xml:space="preserve"> (Cambridge: Cambridge University Press, 1999) [Referred to below as ‘</w:t>
      </w:r>
      <w:r>
        <w:rPr>
          <w:rFonts w:ascii="Palatino Linotype" w:hAnsi="Palatino Linotype"/>
          <w:b/>
          <w:bCs/>
          <w:i/>
          <w:iCs/>
        </w:rPr>
        <w:t>Supposed Right to Lie</w:t>
      </w:r>
      <w:r>
        <w:rPr>
          <w:rFonts w:ascii="Palatino Linotype" w:hAnsi="Palatino Linotype"/>
        </w:rPr>
        <w:t>’]</w:t>
      </w:r>
    </w:p>
    <w:p w14:paraId="7C6F3236" w14:textId="77777777" w:rsidR="00BA2D05" w:rsidRDefault="00BA2D05">
      <w:pPr>
        <w:ind w:left="284" w:hanging="284"/>
        <w:rPr>
          <w:rFonts w:ascii="Palatino Linotype" w:hAnsi="Palatino Linotype"/>
        </w:rPr>
      </w:pPr>
    </w:p>
    <w:p w14:paraId="50E63023" w14:textId="77777777" w:rsidR="00BA2D05" w:rsidRDefault="0016058C">
      <w:pPr>
        <w:rPr>
          <w:rFonts w:ascii="Palatino Linotype" w:hAnsi="Palatino Linotype"/>
          <w:sz w:val="20"/>
          <w:szCs w:val="20"/>
        </w:rPr>
      </w:pPr>
      <w:r>
        <w:rPr>
          <w:rFonts w:ascii="Palatino Linotype" w:hAnsi="Palatino Linotype"/>
          <w:sz w:val="20"/>
          <w:szCs w:val="20"/>
        </w:rPr>
        <w:t xml:space="preserve">Some other important or interesting works by Kant – which I will probably refer to in lectures or in our discussions, and from which some secondary reading might be taken – and which you might find it interesting to look at (this is still not a complete list of important Kant works!) are: </w:t>
      </w:r>
    </w:p>
    <w:p w14:paraId="29D1858F" w14:textId="77777777" w:rsidR="00BA2D05" w:rsidRDefault="00BA2D05">
      <w:pPr>
        <w:ind w:left="284" w:hanging="284"/>
        <w:rPr>
          <w:rFonts w:ascii="Palatino Linotype" w:hAnsi="Palatino Linotype"/>
          <w:sz w:val="20"/>
          <w:szCs w:val="20"/>
        </w:rPr>
      </w:pPr>
    </w:p>
    <w:p w14:paraId="65FD866E" w14:textId="77777777" w:rsidR="00BA2D05" w:rsidRDefault="0016058C">
      <w:pPr>
        <w:ind w:left="284" w:hanging="284"/>
        <w:rPr>
          <w:rFonts w:ascii="Palatino Linotype" w:hAnsi="Palatino Linotype"/>
          <w:sz w:val="20"/>
          <w:szCs w:val="20"/>
        </w:rPr>
      </w:pPr>
      <w:r>
        <w:rPr>
          <w:rFonts w:ascii="Palatino Linotype" w:hAnsi="Palatino Linotype"/>
          <w:sz w:val="20"/>
          <w:szCs w:val="20"/>
        </w:rPr>
        <w:t xml:space="preserve">Immanuel Kant, [1786]. </w:t>
      </w:r>
      <w:hyperlink r:id="rId14" w:anchor="book/1047bafc-0810-4368-8f2b-69df2cdfa952/ch1" w:history="1">
        <w:r>
          <w:rPr>
            <w:rStyle w:val="FollowedHyperlink"/>
            <w:rFonts w:ascii="Palatino Linotype" w:hAnsi="Palatino Linotype"/>
            <w:sz w:val="20"/>
            <w:szCs w:val="20"/>
          </w:rPr>
          <w:t>‘What Does it Mean to Orient Oneself in Thinking?’</w:t>
        </w:r>
      </w:hyperlink>
      <w:r>
        <w:rPr>
          <w:rFonts w:ascii="Palatino Linotype" w:hAnsi="Palatino Linotype"/>
          <w:sz w:val="20"/>
          <w:szCs w:val="20"/>
        </w:rPr>
        <w:t xml:space="preserve">, in Allen Wood &amp; George di Giovanni (trans. &amp; eds.), </w:t>
      </w:r>
      <w:r>
        <w:rPr>
          <w:rFonts w:ascii="Palatino Linotype" w:hAnsi="Palatino Linotype"/>
          <w:i/>
          <w:iCs/>
          <w:sz w:val="20"/>
          <w:szCs w:val="20"/>
        </w:rPr>
        <w:t>Religion Within the Bounds of Mere Reason and Other Writings</w:t>
      </w:r>
      <w:r>
        <w:rPr>
          <w:rFonts w:ascii="Palatino Linotype" w:hAnsi="Palatino Linotype"/>
          <w:sz w:val="20"/>
          <w:szCs w:val="20"/>
        </w:rPr>
        <w:t xml:space="preserve"> (Cambridge: Cambridge University Press, 1998) [Referred to below as ‘</w:t>
      </w:r>
      <w:r>
        <w:rPr>
          <w:rFonts w:ascii="Palatino Linotype" w:hAnsi="Palatino Linotype"/>
          <w:b/>
          <w:bCs/>
          <w:i/>
          <w:iCs/>
          <w:sz w:val="20"/>
          <w:szCs w:val="20"/>
        </w:rPr>
        <w:t>Orientation</w:t>
      </w:r>
      <w:r>
        <w:rPr>
          <w:rFonts w:ascii="Palatino Linotype" w:hAnsi="Palatino Linotype"/>
          <w:sz w:val="20"/>
          <w:szCs w:val="20"/>
        </w:rPr>
        <w:t>’]</w:t>
      </w:r>
    </w:p>
    <w:p w14:paraId="4A1B0EBD" w14:textId="77777777" w:rsidR="00BA2D05" w:rsidRDefault="0016058C">
      <w:pPr>
        <w:ind w:left="284" w:hanging="284"/>
        <w:rPr>
          <w:rFonts w:ascii="Palatino Linotype" w:hAnsi="Palatino Linotype"/>
          <w:sz w:val="20"/>
          <w:szCs w:val="20"/>
        </w:rPr>
      </w:pPr>
      <w:r>
        <w:rPr>
          <w:rFonts w:ascii="Palatino Linotype" w:hAnsi="Palatino Linotype"/>
          <w:sz w:val="20"/>
          <w:szCs w:val="20"/>
        </w:rPr>
        <w:t xml:space="preserve">Immanuel Kant, [1787]. </w:t>
      </w:r>
      <w:hyperlink r:id="rId15" w:history="1">
        <w:r>
          <w:rPr>
            <w:rStyle w:val="Hyperlink"/>
            <w:rFonts w:ascii="Palatino Linotype" w:hAnsi="Palatino Linotype"/>
            <w:i/>
            <w:iCs/>
            <w:sz w:val="20"/>
            <w:szCs w:val="20"/>
          </w:rPr>
          <w:t>Critique of Practical Reason</w:t>
        </w:r>
      </w:hyperlink>
      <w:r>
        <w:rPr>
          <w:rFonts w:ascii="Palatino Linotype" w:hAnsi="Palatino Linotype"/>
          <w:sz w:val="20"/>
          <w:szCs w:val="20"/>
        </w:rPr>
        <w:t xml:space="preserve">, in Mary Gregor (trans. &amp; ed.) </w:t>
      </w:r>
      <w:r>
        <w:rPr>
          <w:rFonts w:ascii="Palatino Linotype" w:hAnsi="Palatino Linotype"/>
          <w:i/>
          <w:iCs/>
          <w:sz w:val="20"/>
          <w:szCs w:val="20"/>
        </w:rPr>
        <w:t>Practical Philosophy</w:t>
      </w:r>
      <w:r>
        <w:rPr>
          <w:rFonts w:ascii="Palatino Linotype" w:hAnsi="Palatino Linotype"/>
          <w:sz w:val="20"/>
          <w:szCs w:val="20"/>
        </w:rPr>
        <w:t xml:space="preserve"> (Cambridge: Cambridge University Press, 1999) [Referred to below as ‘</w:t>
      </w:r>
      <w:r>
        <w:rPr>
          <w:rFonts w:ascii="Palatino Linotype" w:hAnsi="Palatino Linotype"/>
          <w:b/>
          <w:bCs/>
          <w:i/>
          <w:iCs/>
          <w:sz w:val="20"/>
          <w:szCs w:val="20"/>
        </w:rPr>
        <w:t>Critique of Practical Reason</w:t>
      </w:r>
      <w:r>
        <w:rPr>
          <w:rFonts w:ascii="Palatino Linotype" w:hAnsi="Palatino Linotype"/>
          <w:sz w:val="20"/>
          <w:szCs w:val="20"/>
        </w:rPr>
        <w:t>’ and sometimes as ‘</w:t>
      </w:r>
      <w:proofErr w:type="spellStart"/>
      <w:r>
        <w:rPr>
          <w:rFonts w:ascii="Palatino Linotype" w:hAnsi="Palatino Linotype"/>
          <w:b/>
          <w:bCs/>
          <w:i/>
          <w:iCs/>
          <w:sz w:val="20"/>
          <w:szCs w:val="20"/>
        </w:rPr>
        <w:t>CPrR</w:t>
      </w:r>
      <w:proofErr w:type="spellEnd"/>
      <w:r>
        <w:rPr>
          <w:rFonts w:ascii="Palatino Linotype" w:hAnsi="Palatino Linotype"/>
          <w:sz w:val="20"/>
          <w:szCs w:val="20"/>
        </w:rPr>
        <w:t>’]</w:t>
      </w:r>
    </w:p>
    <w:p w14:paraId="0B114E44" w14:textId="77777777" w:rsidR="00BA2D05" w:rsidRDefault="0016058C">
      <w:pPr>
        <w:ind w:left="284" w:hanging="284"/>
        <w:rPr>
          <w:rFonts w:ascii="Palatino Linotype" w:hAnsi="Palatino Linotype"/>
          <w:sz w:val="20"/>
          <w:szCs w:val="20"/>
        </w:rPr>
      </w:pPr>
      <w:r>
        <w:rPr>
          <w:rFonts w:ascii="Palatino Linotype" w:hAnsi="Palatino Linotype"/>
          <w:sz w:val="20"/>
          <w:szCs w:val="20"/>
        </w:rPr>
        <w:t xml:space="preserve">Immanuel Kant, [1791]. </w:t>
      </w:r>
      <w:hyperlink r:id="rId16" w:anchor="book/1047bafc-0810-4368-8f2b-69df2cdfa952/ch2" w:history="1">
        <w:r>
          <w:rPr>
            <w:rStyle w:val="Hyperlink"/>
            <w:rFonts w:ascii="Palatino Linotype" w:hAnsi="Palatino Linotype"/>
            <w:sz w:val="20"/>
            <w:szCs w:val="20"/>
          </w:rPr>
          <w:t>‘On the Miscarriage of All Philosophical Trials in Theodicy’</w:t>
        </w:r>
      </w:hyperlink>
      <w:r>
        <w:rPr>
          <w:rFonts w:ascii="Palatino Linotype" w:hAnsi="Palatino Linotype"/>
          <w:sz w:val="20"/>
          <w:szCs w:val="20"/>
        </w:rPr>
        <w:t xml:space="preserve">, in Allen Wood &amp; George di Giovanni (trans. &amp; eds.), </w:t>
      </w:r>
      <w:r>
        <w:rPr>
          <w:rFonts w:ascii="Palatino Linotype" w:hAnsi="Palatino Linotype"/>
          <w:i/>
          <w:iCs/>
          <w:sz w:val="20"/>
          <w:szCs w:val="20"/>
        </w:rPr>
        <w:t>Religion Within the Bounds of Mere Reason and Other Writings</w:t>
      </w:r>
      <w:r>
        <w:rPr>
          <w:rFonts w:ascii="Palatino Linotype" w:hAnsi="Palatino Linotype"/>
          <w:sz w:val="20"/>
          <w:szCs w:val="20"/>
        </w:rPr>
        <w:t xml:space="preserve"> (Cambridge: Cambridge University Press, 1998) [Referred to below as ‘</w:t>
      </w:r>
      <w:r>
        <w:rPr>
          <w:rFonts w:ascii="Palatino Linotype" w:hAnsi="Palatino Linotype"/>
          <w:b/>
          <w:bCs/>
          <w:i/>
          <w:iCs/>
          <w:sz w:val="20"/>
          <w:szCs w:val="20"/>
        </w:rPr>
        <w:t>Theodicy</w:t>
      </w:r>
      <w:r>
        <w:rPr>
          <w:rFonts w:ascii="Palatino Linotype" w:hAnsi="Palatino Linotype"/>
          <w:sz w:val="20"/>
          <w:szCs w:val="20"/>
        </w:rPr>
        <w:t>’]</w:t>
      </w:r>
    </w:p>
    <w:p w14:paraId="31F445DE" w14:textId="77777777" w:rsidR="00BA2D05" w:rsidRDefault="0016058C">
      <w:pPr>
        <w:ind w:left="284" w:hanging="284"/>
        <w:rPr>
          <w:rFonts w:ascii="Palatino Linotype" w:hAnsi="Palatino Linotype"/>
          <w:sz w:val="20"/>
          <w:szCs w:val="20"/>
        </w:rPr>
      </w:pPr>
      <w:r>
        <w:rPr>
          <w:rFonts w:ascii="Palatino Linotype" w:hAnsi="Palatino Linotype"/>
          <w:sz w:val="20"/>
          <w:szCs w:val="20"/>
        </w:rPr>
        <w:t xml:space="preserve">Immanuel Kant, [1792-4]. </w:t>
      </w:r>
      <w:hyperlink r:id="rId17" w:anchor="book/1047bafc-0810-4368-8f2b-69df2cdfa952/ch3" w:history="1">
        <w:r>
          <w:rPr>
            <w:rStyle w:val="Hyperlink"/>
            <w:rFonts w:ascii="Palatino Linotype" w:hAnsi="Palatino Linotype"/>
            <w:i/>
            <w:iCs/>
            <w:sz w:val="20"/>
            <w:szCs w:val="20"/>
          </w:rPr>
          <w:t>Religion Within the Boundaries of Mere Reason</w:t>
        </w:r>
      </w:hyperlink>
      <w:r>
        <w:rPr>
          <w:rFonts w:ascii="Palatino Linotype" w:hAnsi="Palatino Linotype"/>
          <w:sz w:val="20"/>
          <w:szCs w:val="20"/>
        </w:rPr>
        <w:t xml:space="preserve">, in Allen Wood &amp; George di Giovanni (trans. &amp; eds.), </w:t>
      </w:r>
      <w:r>
        <w:rPr>
          <w:rFonts w:ascii="Palatino Linotype" w:hAnsi="Palatino Linotype"/>
          <w:i/>
          <w:iCs/>
          <w:sz w:val="20"/>
          <w:szCs w:val="20"/>
        </w:rPr>
        <w:t>Religion Within the Bounds of Mere Reason and Other Writings</w:t>
      </w:r>
      <w:r>
        <w:rPr>
          <w:rFonts w:ascii="Palatino Linotype" w:hAnsi="Palatino Linotype"/>
          <w:sz w:val="20"/>
          <w:szCs w:val="20"/>
        </w:rPr>
        <w:t xml:space="preserve"> (Cambridge: Cambridge University Press, 1998) [Referred to below as ‘</w:t>
      </w:r>
      <w:r>
        <w:rPr>
          <w:rFonts w:ascii="Palatino Linotype" w:hAnsi="Palatino Linotype"/>
          <w:b/>
          <w:bCs/>
          <w:i/>
          <w:iCs/>
          <w:sz w:val="20"/>
          <w:szCs w:val="20"/>
        </w:rPr>
        <w:t>Religion</w:t>
      </w:r>
      <w:r>
        <w:rPr>
          <w:rFonts w:ascii="Palatino Linotype" w:hAnsi="Palatino Linotype"/>
          <w:sz w:val="20"/>
          <w:szCs w:val="20"/>
        </w:rPr>
        <w:t>’]</w:t>
      </w:r>
    </w:p>
    <w:p w14:paraId="03293436" w14:textId="77777777" w:rsidR="00BA2D05" w:rsidRDefault="0016058C">
      <w:pPr>
        <w:ind w:left="284" w:hanging="284"/>
        <w:rPr>
          <w:rFonts w:ascii="Palatino Linotype" w:hAnsi="Palatino Linotype"/>
        </w:rPr>
      </w:pPr>
      <w:r>
        <w:rPr>
          <w:rFonts w:ascii="Palatino Linotype" w:hAnsi="Palatino Linotype"/>
          <w:sz w:val="20"/>
          <w:szCs w:val="20"/>
        </w:rPr>
        <w:t xml:space="preserve">Immanuel Kant, [1797]. </w:t>
      </w:r>
      <w:hyperlink r:id="rId18" w:history="1">
        <w:r>
          <w:rPr>
            <w:rStyle w:val="Hyperlink"/>
            <w:rFonts w:ascii="Palatino Linotype" w:hAnsi="Palatino Linotype"/>
            <w:i/>
            <w:iCs/>
            <w:sz w:val="20"/>
            <w:szCs w:val="20"/>
          </w:rPr>
          <w:t>The Metaphysics of Morals</w:t>
        </w:r>
      </w:hyperlink>
      <w:r>
        <w:rPr>
          <w:rFonts w:ascii="Palatino Linotype" w:hAnsi="Palatino Linotype"/>
          <w:sz w:val="20"/>
          <w:szCs w:val="20"/>
        </w:rPr>
        <w:t xml:space="preserve">, in Mary Gregor (trans. &amp; ed.) </w:t>
      </w:r>
      <w:r>
        <w:rPr>
          <w:rFonts w:ascii="Palatino Linotype" w:hAnsi="Palatino Linotype"/>
          <w:i/>
          <w:iCs/>
          <w:sz w:val="20"/>
          <w:szCs w:val="20"/>
        </w:rPr>
        <w:t>Practical Philosophy</w:t>
      </w:r>
      <w:r>
        <w:rPr>
          <w:rFonts w:ascii="Palatino Linotype" w:hAnsi="Palatino Linotype"/>
          <w:sz w:val="20"/>
          <w:szCs w:val="20"/>
        </w:rPr>
        <w:t xml:space="preserve"> (Cambridge: Cambridge University Press, 1999) [Referred to below as ‘</w:t>
      </w:r>
      <w:r>
        <w:rPr>
          <w:rFonts w:ascii="Palatino Linotype" w:hAnsi="Palatino Linotype"/>
          <w:b/>
          <w:bCs/>
          <w:i/>
          <w:iCs/>
          <w:sz w:val="20"/>
          <w:szCs w:val="20"/>
        </w:rPr>
        <w:t>Metaphysics of Morals</w:t>
      </w:r>
      <w:r>
        <w:rPr>
          <w:rFonts w:ascii="Palatino Linotype" w:hAnsi="Palatino Linotype"/>
          <w:sz w:val="20"/>
          <w:szCs w:val="20"/>
        </w:rPr>
        <w:t>’ and sometimes as ‘</w:t>
      </w:r>
      <w:r>
        <w:rPr>
          <w:rFonts w:ascii="Palatino Linotype" w:hAnsi="Palatino Linotype"/>
          <w:b/>
          <w:bCs/>
          <w:i/>
          <w:iCs/>
          <w:sz w:val="20"/>
          <w:szCs w:val="20"/>
        </w:rPr>
        <w:t>MM</w:t>
      </w:r>
      <w:r>
        <w:rPr>
          <w:rFonts w:ascii="Palatino Linotype" w:hAnsi="Palatino Linotype"/>
          <w:sz w:val="20"/>
          <w:szCs w:val="20"/>
        </w:rPr>
        <w:t>’]</w:t>
      </w:r>
    </w:p>
    <w:p w14:paraId="5EC4B7EF" w14:textId="77777777" w:rsidR="00BA2D05" w:rsidRDefault="00BA2D05">
      <w:pPr>
        <w:ind w:left="284" w:hanging="284"/>
        <w:rPr>
          <w:rFonts w:ascii="Palatino Linotype" w:hAnsi="Palatino Linotype"/>
          <w:sz w:val="20"/>
          <w:szCs w:val="20"/>
        </w:rPr>
      </w:pPr>
    </w:p>
    <w:p w14:paraId="3BD12E22" w14:textId="77777777" w:rsidR="00BA2D05" w:rsidRDefault="0016058C">
      <w:pPr>
        <w:ind w:left="284" w:hanging="284"/>
        <w:rPr>
          <w:rFonts w:ascii="Palatino Linotype" w:hAnsi="Palatino Linotype"/>
          <w:i/>
          <w:iCs/>
          <w:sz w:val="20"/>
          <w:szCs w:val="20"/>
        </w:rPr>
      </w:pPr>
      <w:r>
        <w:rPr>
          <w:rFonts w:ascii="Palatino Linotype" w:hAnsi="Palatino Linotype"/>
          <w:sz w:val="20"/>
          <w:szCs w:val="20"/>
        </w:rPr>
        <w:t>Some good commentaries or secondary works ranging across the topics of the module include:</w:t>
      </w:r>
      <w:r>
        <w:rPr>
          <w:rStyle w:val="FootnoteReference"/>
          <w:rFonts w:ascii="Palatino Linotype" w:hAnsi="Palatino Linotype"/>
          <w:sz w:val="20"/>
          <w:szCs w:val="20"/>
        </w:rPr>
        <w:footnoteReference w:id="4"/>
      </w:r>
    </w:p>
    <w:p w14:paraId="62E3A4D1" w14:textId="77777777" w:rsidR="00BA2D05" w:rsidRDefault="00BA2D05">
      <w:pPr>
        <w:ind w:left="284" w:hanging="284"/>
        <w:rPr>
          <w:rFonts w:ascii="Palatino Linotype" w:hAnsi="Palatino Linotype"/>
          <w:b/>
          <w:bCs/>
          <w:sz w:val="20"/>
          <w:szCs w:val="20"/>
        </w:rPr>
      </w:pPr>
    </w:p>
    <w:p w14:paraId="5236D74B"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lastRenderedPageBreak/>
        <w:t>Henry E. Allison</w:t>
      </w:r>
      <w:r>
        <w:rPr>
          <w:rFonts w:ascii="Palatino Linotype" w:hAnsi="Palatino Linotype"/>
          <w:sz w:val="20"/>
          <w:szCs w:val="20"/>
        </w:rPr>
        <w:t xml:space="preserve"> (2004), </w:t>
      </w:r>
      <w:r>
        <w:rPr>
          <w:rFonts w:ascii="Palatino Linotype" w:hAnsi="Palatino Linotype"/>
          <w:i/>
          <w:iCs/>
          <w:sz w:val="20"/>
          <w:szCs w:val="20"/>
        </w:rPr>
        <w:t xml:space="preserve">Kant’s Transcendental Idealism: An Interpretation and </w:t>
      </w:r>
      <w:proofErr w:type="spellStart"/>
      <w:r>
        <w:rPr>
          <w:rFonts w:ascii="Palatino Linotype" w:hAnsi="Palatino Linotype"/>
          <w:i/>
          <w:iCs/>
          <w:sz w:val="20"/>
          <w:szCs w:val="20"/>
        </w:rPr>
        <w:t>Defense</w:t>
      </w:r>
      <w:proofErr w:type="spellEnd"/>
      <w:r>
        <w:rPr>
          <w:rFonts w:ascii="Palatino Linotype" w:hAnsi="Palatino Linotype"/>
          <w:i/>
          <w:iCs/>
          <w:sz w:val="20"/>
          <w:szCs w:val="20"/>
        </w:rPr>
        <w:t xml:space="preserve"> (Revised and Enlarged Edition)</w:t>
      </w:r>
      <w:r>
        <w:rPr>
          <w:rFonts w:ascii="Palatino Linotype" w:hAnsi="Palatino Linotype"/>
          <w:sz w:val="20"/>
          <w:szCs w:val="20"/>
        </w:rPr>
        <w:t xml:space="preserve"> (New Haven: Yale University Press)</w:t>
      </w:r>
    </w:p>
    <w:p w14:paraId="1CEE2B45" w14:textId="77777777" w:rsidR="00BA2D05" w:rsidRDefault="0016058C">
      <w:pPr>
        <w:ind w:left="426"/>
        <w:rPr>
          <w:rFonts w:ascii="Palatino Linotype" w:hAnsi="Palatino Linotype"/>
          <w:b/>
          <w:bCs/>
          <w:sz w:val="20"/>
          <w:szCs w:val="20"/>
        </w:rPr>
      </w:pPr>
      <w:r>
        <w:rPr>
          <w:rFonts w:ascii="Palatino Linotype" w:hAnsi="Palatino Linotype"/>
          <w:sz w:val="18"/>
          <w:szCs w:val="18"/>
        </w:rPr>
        <w:t xml:space="preserve">The original edition of this book was published in 1983, but Allison substantially re-wrote it for this new edition, so it is quite a different book, although it presents broadly the same kind of interpretation. It is an interpretation I am heavily influenced </w:t>
      </w:r>
      <w:proofErr w:type="gramStart"/>
      <w:r>
        <w:rPr>
          <w:rFonts w:ascii="Palatino Linotype" w:hAnsi="Palatino Linotype"/>
          <w:sz w:val="18"/>
          <w:szCs w:val="18"/>
        </w:rPr>
        <w:t>by, and</w:t>
      </w:r>
      <w:proofErr w:type="gramEnd"/>
      <w:r>
        <w:rPr>
          <w:rFonts w:ascii="Palatino Linotype" w:hAnsi="Palatino Linotype"/>
          <w:sz w:val="18"/>
          <w:szCs w:val="18"/>
        </w:rPr>
        <w:t xml:space="preserve"> will be drawing on in the lectures quite a lot. The 1983 edition is still worth reading, if it is the only one you can get.</w:t>
      </w:r>
    </w:p>
    <w:p w14:paraId="77FEB36E"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 xml:space="preserve">Henry E. Allison </w:t>
      </w:r>
      <w:r>
        <w:rPr>
          <w:rFonts w:ascii="Palatino Linotype" w:hAnsi="Palatino Linotype"/>
          <w:sz w:val="20"/>
          <w:szCs w:val="20"/>
        </w:rPr>
        <w:t xml:space="preserve">(2011), </w:t>
      </w:r>
      <w:hyperlink r:id="rId19" w:history="1">
        <w:r>
          <w:rPr>
            <w:rStyle w:val="Hyperlink"/>
            <w:rFonts w:ascii="Palatino Linotype" w:hAnsi="Palatino Linotype"/>
            <w:i/>
            <w:iCs/>
            <w:sz w:val="20"/>
            <w:szCs w:val="20"/>
          </w:rPr>
          <w:t>Kant’s Groundwork for the Metaphysics of Morals: A Commentary</w:t>
        </w:r>
      </w:hyperlink>
      <w:r>
        <w:rPr>
          <w:rFonts w:ascii="Palatino Linotype" w:hAnsi="Palatino Linotype"/>
          <w:i/>
          <w:iCs/>
          <w:sz w:val="20"/>
          <w:szCs w:val="20"/>
        </w:rPr>
        <w:t xml:space="preserve"> </w:t>
      </w:r>
      <w:r>
        <w:rPr>
          <w:rFonts w:ascii="Palatino Linotype" w:hAnsi="Palatino Linotype"/>
          <w:sz w:val="20"/>
          <w:szCs w:val="20"/>
        </w:rPr>
        <w:t>(Oxford: Oxford University Press)</w:t>
      </w:r>
    </w:p>
    <w:p w14:paraId="01367A1A"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Sebastian Gardner</w:t>
      </w:r>
      <w:r>
        <w:rPr>
          <w:rFonts w:ascii="Palatino Linotype" w:hAnsi="Palatino Linotype"/>
          <w:sz w:val="20"/>
          <w:szCs w:val="20"/>
        </w:rPr>
        <w:t xml:space="preserve"> (1999), </w:t>
      </w:r>
      <w:hyperlink r:id="rId20" w:history="1">
        <w:r>
          <w:rPr>
            <w:rStyle w:val="Hyperlink"/>
            <w:rFonts w:ascii="Palatino Linotype" w:hAnsi="Palatino Linotype"/>
            <w:i/>
            <w:iCs/>
            <w:sz w:val="20"/>
            <w:szCs w:val="20"/>
          </w:rPr>
          <w:t>Routledge Philosophy Guidebook to Kant and the Critique of Pure Reason</w:t>
        </w:r>
      </w:hyperlink>
      <w:r>
        <w:rPr>
          <w:rFonts w:ascii="Palatino Linotype" w:hAnsi="Palatino Linotype"/>
          <w:sz w:val="20"/>
          <w:szCs w:val="20"/>
        </w:rPr>
        <w:t xml:space="preserve"> (London: Routledge)</w:t>
      </w:r>
    </w:p>
    <w:p w14:paraId="21F6E3BB"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 xml:space="preserve">Paul Guyer </w:t>
      </w:r>
      <w:r>
        <w:rPr>
          <w:rFonts w:ascii="Palatino Linotype" w:hAnsi="Palatino Linotype"/>
          <w:sz w:val="20"/>
          <w:szCs w:val="20"/>
        </w:rPr>
        <w:t xml:space="preserve">(1987), </w:t>
      </w:r>
      <w:r>
        <w:rPr>
          <w:rFonts w:ascii="Palatino Linotype" w:hAnsi="Palatino Linotype"/>
          <w:i/>
          <w:iCs/>
          <w:sz w:val="20"/>
          <w:szCs w:val="20"/>
        </w:rPr>
        <w:t>Kant and the Claims of Knowledge</w:t>
      </w:r>
      <w:r>
        <w:rPr>
          <w:rFonts w:ascii="Palatino Linotype" w:hAnsi="Palatino Linotype"/>
          <w:sz w:val="20"/>
          <w:szCs w:val="20"/>
        </w:rPr>
        <w:t xml:space="preserve"> (Cambridge: Cambridge University Press)</w:t>
      </w:r>
    </w:p>
    <w:p w14:paraId="178B3DD3" w14:textId="77777777" w:rsidR="00BA2D05" w:rsidRDefault="0016058C">
      <w:pPr>
        <w:ind w:left="426"/>
        <w:rPr>
          <w:rFonts w:ascii="Palatino Linotype" w:hAnsi="Palatino Linotype"/>
          <w:sz w:val="18"/>
          <w:szCs w:val="18"/>
        </w:rPr>
      </w:pPr>
      <w:r>
        <w:rPr>
          <w:rFonts w:ascii="Palatino Linotype" w:hAnsi="Palatino Linotype"/>
          <w:sz w:val="18"/>
          <w:szCs w:val="18"/>
        </w:rPr>
        <w:t xml:space="preserve">Guyer is, I think, more sceptical of Kant’s arguments (as he reconstructs them – which is different from how e.g. Allison reconstructs many of them) than some other commentators (notably Allison) tend to be. But many of the objection he raises are interesting and important. </w:t>
      </w:r>
    </w:p>
    <w:p w14:paraId="53CF922B" w14:textId="77777777" w:rsidR="00BA2D05" w:rsidRDefault="0016058C">
      <w:pPr>
        <w:ind w:left="284" w:hanging="284"/>
        <w:rPr>
          <w:rFonts w:ascii="Palatino Linotype" w:hAnsi="Palatino Linotype"/>
          <w:b/>
          <w:bCs/>
          <w:sz w:val="20"/>
          <w:szCs w:val="20"/>
        </w:rPr>
      </w:pPr>
      <w:r>
        <w:rPr>
          <w:rFonts w:ascii="Palatino Linotype" w:hAnsi="Palatino Linotype"/>
          <w:b/>
          <w:bCs/>
          <w:sz w:val="20"/>
          <w:szCs w:val="20"/>
        </w:rPr>
        <w:t>Paul Guyer</w:t>
      </w:r>
      <w:r>
        <w:rPr>
          <w:rFonts w:ascii="Palatino Linotype" w:hAnsi="Palatino Linotype"/>
          <w:sz w:val="20"/>
          <w:szCs w:val="20"/>
        </w:rPr>
        <w:t xml:space="preserve"> (ed.) (1992), </w:t>
      </w:r>
      <w:hyperlink r:id="rId21" w:history="1">
        <w:r>
          <w:rPr>
            <w:rStyle w:val="Hyperlink"/>
            <w:rFonts w:ascii="Palatino Linotype" w:hAnsi="Palatino Linotype"/>
            <w:i/>
            <w:iCs/>
            <w:sz w:val="20"/>
            <w:szCs w:val="20"/>
          </w:rPr>
          <w:t>The Cambridge Companion to Kant</w:t>
        </w:r>
      </w:hyperlink>
      <w:r>
        <w:rPr>
          <w:rFonts w:ascii="Palatino Linotype" w:hAnsi="Palatino Linotype"/>
          <w:sz w:val="20"/>
          <w:szCs w:val="20"/>
        </w:rPr>
        <w:t xml:space="preserve"> (Cambridge: Cambridge University Press)</w:t>
      </w:r>
      <w:r>
        <w:rPr>
          <w:rFonts w:ascii="Palatino Linotype" w:hAnsi="Palatino Linotype"/>
          <w:sz w:val="18"/>
          <w:szCs w:val="18"/>
        </w:rPr>
        <w:t xml:space="preserve"> </w:t>
      </w:r>
    </w:p>
    <w:p w14:paraId="5D275AE4"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Paul Guyer</w:t>
      </w:r>
      <w:r>
        <w:rPr>
          <w:rFonts w:ascii="Palatino Linotype" w:hAnsi="Palatino Linotype"/>
          <w:sz w:val="20"/>
          <w:szCs w:val="20"/>
        </w:rPr>
        <w:t xml:space="preserve"> (ed.) (2006), </w:t>
      </w:r>
      <w:hyperlink r:id="rId22" w:history="1">
        <w:r>
          <w:rPr>
            <w:rStyle w:val="Hyperlink"/>
            <w:rFonts w:ascii="Palatino Linotype" w:hAnsi="Palatino Linotype"/>
            <w:i/>
            <w:iCs/>
            <w:sz w:val="20"/>
            <w:szCs w:val="20"/>
          </w:rPr>
          <w:t>The Cambridge Companion to Kant and Modern Philosophy</w:t>
        </w:r>
      </w:hyperlink>
      <w:r>
        <w:rPr>
          <w:rFonts w:ascii="Palatino Linotype" w:hAnsi="Palatino Linotype"/>
          <w:sz w:val="20"/>
          <w:szCs w:val="20"/>
        </w:rPr>
        <w:t xml:space="preserve"> (Cambridge: Cambridge University Press)</w:t>
      </w:r>
    </w:p>
    <w:p w14:paraId="49D6C820"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Christine M. Korsgaard</w:t>
      </w:r>
      <w:r>
        <w:rPr>
          <w:rFonts w:ascii="Palatino Linotype" w:hAnsi="Palatino Linotype"/>
          <w:sz w:val="20"/>
          <w:szCs w:val="20"/>
        </w:rPr>
        <w:t xml:space="preserve"> (1996), </w:t>
      </w:r>
      <w:r>
        <w:rPr>
          <w:rFonts w:ascii="Palatino Linotype" w:hAnsi="Palatino Linotype"/>
          <w:i/>
          <w:iCs/>
          <w:sz w:val="20"/>
          <w:szCs w:val="20"/>
        </w:rPr>
        <w:t>Creating the Kingdom of Ends</w:t>
      </w:r>
      <w:r>
        <w:rPr>
          <w:rFonts w:ascii="Palatino Linotype" w:hAnsi="Palatino Linotype"/>
          <w:sz w:val="20"/>
          <w:szCs w:val="20"/>
        </w:rPr>
        <w:t xml:space="preserve"> (Cambridge: Cambridge University Press)</w:t>
      </w:r>
    </w:p>
    <w:p w14:paraId="4FC851A9" w14:textId="77777777" w:rsidR="00BA2D05" w:rsidRDefault="0016058C">
      <w:pPr>
        <w:ind w:left="426"/>
        <w:rPr>
          <w:rFonts w:ascii="Palatino Linotype" w:hAnsi="Palatino Linotype"/>
          <w:b/>
          <w:bCs/>
          <w:sz w:val="20"/>
          <w:szCs w:val="20"/>
        </w:rPr>
      </w:pPr>
      <w:r>
        <w:rPr>
          <w:rFonts w:ascii="Palatino Linotype" w:hAnsi="Palatino Linotype"/>
          <w:sz w:val="18"/>
          <w:szCs w:val="18"/>
        </w:rPr>
        <w:t xml:space="preserve">This is not quite a work all about Kant’s moral philosophy, but Part 1 </w:t>
      </w:r>
      <w:proofErr w:type="gramStart"/>
      <w:r>
        <w:rPr>
          <w:rFonts w:ascii="Palatino Linotype" w:hAnsi="Palatino Linotype"/>
          <w:sz w:val="18"/>
          <w:szCs w:val="18"/>
        </w:rPr>
        <w:t>collects together</w:t>
      </w:r>
      <w:proofErr w:type="gramEnd"/>
      <w:r>
        <w:rPr>
          <w:rFonts w:ascii="Palatino Linotype" w:hAnsi="Palatino Linotype"/>
          <w:sz w:val="18"/>
          <w:szCs w:val="18"/>
        </w:rPr>
        <w:t xml:space="preserve"> interesting essays on topics such as the Categorical Imperative, Kant on lying, and the relationship between morality and freedom in Kant’s philosophy.  </w:t>
      </w:r>
    </w:p>
    <w:p w14:paraId="52F198A9" w14:textId="77777777" w:rsidR="00BA2D05" w:rsidRDefault="0016058C">
      <w:pPr>
        <w:ind w:left="284" w:hanging="284"/>
        <w:rPr>
          <w:rFonts w:ascii="Palatino Linotype" w:hAnsi="Palatino Linotype"/>
          <w:b/>
          <w:bCs/>
          <w:sz w:val="20"/>
          <w:szCs w:val="20"/>
        </w:rPr>
      </w:pPr>
      <w:r>
        <w:rPr>
          <w:rFonts w:ascii="Palatino Linotype" w:hAnsi="Palatino Linotype"/>
          <w:b/>
          <w:bCs/>
          <w:sz w:val="20"/>
          <w:szCs w:val="20"/>
        </w:rPr>
        <w:t>P. F. Strawson</w:t>
      </w:r>
      <w:r>
        <w:rPr>
          <w:rFonts w:ascii="Palatino Linotype" w:hAnsi="Palatino Linotype"/>
          <w:sz w:val="20"/>
          <w:szCs w:val="20"/>
        </w:rPr>
        <w:t xml:space="preserve"> [1966], </w:t>
      </w:r>
      <w:hyperlink r:id="rId23" w:history="1">
        <w:r>
          <w:rPr>
            <w:rStyle w:val="Hyperlink"/>
            <w:rFonts w:ascii="Palatino Linotype" w:hAnsi="Palatino Linotype"/>
            <w:i/>
            <w:iCs/>
            <w:sz w:val="20"/>
            <w:szCs w:val="20"/>
          </w:rPr>
          <w:t>The Bounds of Sense: An Essay on Kant’s Critique of Pure Reason</w:t>
        </w:r>
      </w:hyperlink>
      <w:r>
        <w:rPr>
          <w:rFonts w:ascii="Palatino Linotype" w:hAnsi="Palatino Linotype"/>
          <w:sz w:val="20"/>
          <w:szCs w:val="20"/>
        </w:rPr>
        <w:t xml:space="preserve"> (London: Routledge, 1975)</w:t>
      </w:r>
    </w:p>
    <w:p w14:paraId="197A6430" w14:textId="77777777" w:rsidR="00BA2D05" w:rsidRDefault="0016058C">
      <w:pPr>
        <w:ind w:left="284" w:hanging="284"/>
        <w:rPr>
          <w:rFonts w:ascii="Palatino Linotype" w:hAnsi="Palatino Linotype"/>
        </w:rPr>
      </w:pPr>
      <w:r>
        <w:rPr>
          <w:rFonts w:ascii="Palatino Linotype" w:hAnsi="Palatino Linotype"/>
          <w:b/>
          <w:bCs/>
          <w:sz w:val="20"/>
          <w:szCs w:val="20"/>
        </w:rPr>
        <w:t xml:space="preserve">James Van Cleve </w:t>
      </w:r>
      <w:r>
        <w:rPr>
          <w:rFonts w:ascii="Palatino Linotype" w:hAnsi="Palatino Linotype"/>
          <w:sz w:val="20"/>
          <w:szCs w:val="20"/>
        </w:rPr>
        <w:t xml:space="preserve">(1999), </w:t>
      </w:r>
      <w:hyperlink r:id="rId24" w:history="1">
        <w:r>
          <w:rPr>
            <w:rStyle w:val="Hyperlink"/>
            <w:rFonts w:ascii="Palatino Linotype" w:hAnsi="Palatino Linotype"/>
            <w:i/>
            <w:iCs/>
            <w:sz w:val="20"/>
            <w:szCs w:val="20"/>
          </w:rPr>
          <w:t>Problems from Kant</w:t>
        </w:r>
      </w:hyperlink>
      <w:r>
        <w:rPr>
          <w:rFonts w:ascii="Palatino Linotype" w:hAnsi="Palatino Linotype"/>
          <w:sz w:val="20"/>
          <w:szCs w:val="20"/>
        </w:rPr>
        <w:t xml:space="preserve"> (Oxford: Oxford University Press)</w:t>
      </w:r>
    </w:p>
    <w:p w14:paraId="07624248" w14:textId="77777777" w:rsidR="00BA2D05" w:rsidRDefault="00BA2D05">
      <w:pPr>
        <w:rPr>
          <w:rFonts w:ascii="Palatino Linotype" w:hAnsi="Palatino Linotype"/>
          <w:b/>
          <w:bCs/>
        </w:rPr>
      </w:pPr>
    </w:p>
    <w:p w14:paraId="5F958A83" w14:textId="77777777" w:rsidR="00BA2D05" w:rsidRDefault="0016058C">
      <w:pPr>
        <w:rPr>
          <w:rFonts w:ascii="Palatino Linotype" w:hAnsi="Palatino Linotype"/>
        </w:rPr>
      </w:pPr>
      <w:r>
        <w:rPr>
          <w:rFonts w:ascii="Palatino Linotype" w:hAnsi="Palatino Linotype"/>
          <w:b/>
          <w:bCs/>
        </w:rPr>
        <w:t>Essential</w:t>
      </w:r>
      <w:r>
        <w:rPr>
          <w:rFonts w:ascii="Palatino Linotype" w:hAnsi="Palatino Linotype"/>
        </w:rPr>
        <w:t xml:space="preserve"> reading for each week is marked with an asterisk (</w:t>
      </w:r>
      <w:r>
        <w:rPr>
          <w:rFonts w:ascii="Palatino Linotype" w:hAnsi="Palatino Linotype"/>
          <w:b/>
          <w:bCs/>
        </w:rPr>
        <w:t>*</w:t>
      </w:r>
      <w:r>
        <w:rPr>
          <w:rFonts w:ascii="Palatino Linotype" w:hAnsi="Palatino Linotype"/>
        </w:rPr>
        <w:t xml:space="preserve">). All other reading is secondary reading – either background (indicated in the notes to the relevant items) or further reading. </w:t>
      </w:r>
    </w:p>
    <w:p w14:paraId="06EFB2F0" w14:textId="77777777" w:rsidR="00BA2D05" w:rsidRDefault="00BA2D05">
      <w:pPr>
        <w:rPr>
          <w:rFonts w:ascii="Palatino Linotype" w:hAnsi="Palatino Linotype"/>
        </w:rPr>
      </w:pPr>
    </w:p>
    <w:p w14:paraId="34B05184" w14:textId="77777777" w:rsidR="00BA2D05" w:rsidRDefault="0016058C">
      <w:pPr>
        <w:rPr>
          <w:rFonts w:ascii="Palatino Linotype" w:hAnsi="Palatino Linotype"/>
        </w:rPr>
      </w:pPr>
      <w:r>
        <w:rPr>
          <w:rFonts w:ascii="Palatino Linotype" w:hAnsi="Palatino Linotype"/>
        </w:rPr>
        <w:t xml:space="preserve">Kant’s texts have ‘academy numbers’ which correspond to the volume page numbers in a classic edition of his collected works. These are generally printed in the margins (or within the text, of some online editions) of good version of the texts, allowing easy reference to passages which are on different pages of different editions (although we will always be using the Cambridge editions). The </w:t>
      </w:r>
      <w:r>
        <w:rPr>
          <w:rFonts w:ascii="Palatino Linotype" w:hAnsi="Palatino Linotype"/>
          <w:i/>
          <w:iCs/>
        </w:rPr>
        <w:t>Critique of Pure Reason</w:t>
      </w:r>
      <w:r>
        <w:rPr>
          <w:rFonts w:ascii="Palatino Linotype" w:hAnsi="Palatino Linotype"/>
          <w:b/>
          <w:bCs/>
          <w:i/>
          <w:iCs/>
        </w:rPr>
        <w:t xml:space="preserve"> </w:t>
      </w:r>
      <w:r>
        <w:rPr>
          <w:rFonts w:ascii="Palatino Linotype" w:hAnsi="Palatino Linotype"/>
        </w:rPr>
        <w:t xml:space="preserve">was so good that Kant wrote it twice, and so there are ‘A’ (1782) and ‘B’ (1787) editions. Sometimes, passages are common to both, but sometimes there is material in the ‘A’ edition which isn’t in the ‘B’ edition, or vice versa. </w:t>
      </w:r>
      <w:proofErr w:type="gramStart"/>
      <w:r>
        <w:rPr>
          <w:rFonts w:ascii="Palatino Linotype" w:hAnsi="Palatino Linotype"/>
        </w:rPr>
        <w:t>Take a look</w:t>
      </w:r>
      <w:proofErr w:type="gramEnd"/>
      <w:r>
        <w:rPr>
          <w:rFonts w:ascii="Palatino Linotype" w:hAnsi="Palatino Linotype"/>
        </w:rPr>
        <w:t xml:space="preserve"> at the text, and you’ll see how it works. (If you are having trouble, let me know!)</w:t>
      </w:r>
    </w:p>
    <w:p w14:paraId="6B3414DC" w14:textId="77777777" w:rsidR="00BA2D05" w:rsidRDefault="00BA2D05">
      <w:pPr>
        <w:pStyle w:val="Heading2"/>
        <w:rPr>
          <w:rFonts w:ascii="Palatino Linotype" w:hAnsi="Palatino Linotype"/>
          <w:sz w:val="22"/>
          <w:szCs w:val="22"/>
        </w:rPr>
      </w:pPr>
    </w:p>
    <w:p w14:paraId="481128F1" w14:textId="77777777" w:rsidR="00BA2D05" w:rsidRDefault="0016058C">
      <w:pPr>
        <w:pStyle w:val="Heading2"/>
        <w:rPr>
          <w:rFonts w:ascii="Palatino Linotype" w:hAnsi="Palatino Linotype"/>
          <w:color w:val="C00000"/>
        </w:rPr>
      </w:pPr>
      <w:r>
        <w:rPr>
          <w:rFonts w:ascii="Palatino Linotype" w:hAnsi="Palatino Linotype"/>
          <w:color w:val="C00000"/>
        </w:rPr>
        <w:t xml:space="preserve">Week 1: </w:t>
      </w:r>
    </w:p>
    <w:p w14:paraId="555C8A7A" w14:textId="77777777" w:rsidR="00BA2D05" w:rsidRDefault="0016058C">
      <w:pPr>
        <w:pStyle w:val="Heading2"/>
        <w:rPr>
          <w:rFonts w:ascii="Palatino Linotype" w:hAnsi="Palatino Linotype"/>
        </w:rPr>
      </w:pPr>
      <w:r>
        <w:rPr>
          <w:rFonts w:ascii="Palatino Linotype" w:hAnsi="Palatino Linotype"/>
          <w:color w:val="C00000"/>
        </w:rPr>
        <w:t xml:space="preserve">No </w:t>
      </w:r>
      <w:r>
        <w:rPr>
          <w:rFonts w:ascii="Palatino Linotype" w:hAnsi="Palatino Linotype"/>
          <w:color w:val="C00000"/>
        </w:rPr>
        <w:t>lectures or seminars</w:t>
      </w:r>
    </w:p>
    <w:p w14:paraId="5A395DDC" w14:textId="77777777" w:rsidR="00BA2D05" w:rsidRDefault="0016058C">
      <w:pPr>
        <w:rPr>
          <w:rFonts w:ascii="Palatino Linotype" w:hAnsi="Palatino Linotype"/>
          <w:sz w:val="20"/>
          <w:szCs w:val="20"/>
        </w:rPr>
      </w:pPr>
      <w:r>
        <w:rPr>
          <w:rFonts w:ascii="Palatino Linotype" w:hAnsi="Palatino Linotype"/>
          <w:sz w:val="20"/>
          <w:szCs w:val="20"/>
        </w:rPr>
        <w:t xml:space="preserve">Use this week to get ahead with some reading. </w:t>
      </w:r>
      <w:r>
        <w:rPr>
          <w:rFonts w:ascii="Palatino Linotype" w:hAnsi="Palatino Linotype"/>
          <w:b/>
          <w:bCs/>
        </w:rPr>
        <w:t>Read this Module Outline all the way through if you haven’t already</w:t>
      </w:r>
      <w:r>
        <w:rPr>
          <w:rFonts w:ascii="Palatino Linotype" w:hAnsi="Palatino Linotype"/>
          <w:sz w:val="20"/>
          <w:szCs w:val="20"/>
        </w:rPr>
        <w:t xml:space="preserve">. And you might find it useful, as a general introduction to the aspects of Kant’s work we will be looking at, to listen to the following radio podcasts, with guests who are Kant experts: </w:t>
      </w:r>
    </w:p>
    <w:p w14:paraId="65D29E35" w14:textId="77777777" w:rsidR="00BA2D05" w:rsidRDefault="00BA2D05">
      <w:pPr>
        <w:rPr>
          <w:rFonts w:ascii="Palatino Linotype" w:hAnsi="Palatino Linotype"/>
          <w:sz w:val="20"/>
          <w:szCs w:val="20"/>
        </w:rPr>
      </w:pPr>
    </w:p>
    <w:p w14:paraId="5C0C3690" w14:textId="77777777" w:rsidR="00BA2D05" w:rsidRDefault="0016058C">
      <w:pPr>
        <w:rPr>
          <w:rFonts w:ascii="Palatino Linotype" w:hAnsi="Palatino Linotype"/>
          <w:sz w:val="20"/>
          <w:szCs w:val="20"/>
        </w:rPr>
      </w:pPr>
      <w:hyperlink r:id="rId25" w:history="1">
        <w:r>
          <w:rPr>
            <w:rStyle w:val="Hyperlink"/>
            <w:rFonts w:ascii="Palatino Linotype" w:hAnsi="Palatino Linotype"/>
            <w:i/>
            <w:iCs/>
            <w:sz w:val="20"/>
            <w:szCs w:val="20"/>
          </w:rPr>
          <w:t>In Our Time: Kant’s Copernican Revolution</w:t>
        </w:r>
      </w:hyperlink>
      <w:r>
        <w:rPr>
          <w:rFonts w:ascii="Palatino Linotype" w:hAnsi="Palatino Linotype"/>
          <w:sz w:val="20"/>
          <w:szCs w:val="20"/>
        </w:rPr>
        <w:t xml:space="preserve"> (BBC Radio 4)</w:t>
      </w:r>
    </w:p>
    <w:p w14:paraId="5B960DF3" w14:textId="77777777" w:rsidR="00BA2D05" w:rsidRDefault="00BA2D05">
      <w:pPr>
        <w:rPr>
          <w:rFonts w:ascii="Palatino Linotype" w:hAnsi="Palatino Linotype"/>
          <w:sz w:val="20"/>
          <w:szCs w:val="20"/>
        </w:rPr>
      </w:pPr>
    </w:p>
    <w:p w14:paraId="26A202BD" w14:textId="77777777" w:rsidR="00BA2D05" w:rsidRDefault="0016058C">
      <w:pPr>
        <w:rPr>
          <w:rFonts w:ascii="Palatino Linotype" w:hAnsi="Palatino Linotype"/>
        </w:rPr>
      </w:pPr>
      <w:hyperlink r:id="rId26" w:history="1">
        <w:r>
          <w:rPr>
            <w:rStyle w:val="Hyperlink"/>
            <w:rFonts w:ascii="Palatino Linotype" w:hAnsi="Palatino Linotype"/>
            <w:i/>
            <w:iCs/>
            <w:sz w:val="20"/>
            <w:szCs w:val="20"/>
          </w:rPr>
          <w:t>In Our Time: Kant’s Categorical Imperative</w:t>
        </w:r>
      </w:hyperlink>
      <w:r>
        <w:rPr>
          <w:rFonts w:ascii="Palatino Linotype" w:hAnsi="Palatino Linotype"/>
          <w:sz w:val="20"/>
          <w:szCs w:val="20"/>
        </w:rPr>
        <w:t xml:space="preserve"> (BBC Radio 4)</w:t>
      </w:r>
    </w:p>
    <w:p w14:paraId="304FCFDF" w14:textId="77777777" w:rsidR="00BA2D05" w:rsidRDefault="00BA2D05">
      <w:pPr>
        <w:rPr>
          <w:rFonts w:ascii="Palatino Linotype" w:hAnsi="Palatino Linotype"/>
        </w:rPr>
      </w:pPr>
    </w:p>
    <w:p w14:paraId="00E6753C" w14:textId="77777777" w:rsidR="00BA2D05" w:rsidRDefault="0016058C">
      <w:pPr>
        <w:pStyle w:val="Heading2"/>
        <w:rPr>
          <w:rFonts w:ascii="Palatino Linotype" w:hAnsi="Palatino Linotype"/>
          <w:color w:val="C00000"/>
        </w:rPr>
      </w:pPr>
      <w:r>
        <w:rPr>
          <w:rFonts w:ascii="Palatino Linotype" w:hAnsi="Palatino Linotype"/>
          <w:color w:val="C00000"/>
        </w:rPr>
        <w:t xml:space="preserve">Week 2: </w:t>
      </w:r>
    </w:p>
    <w:p w14:paraId="242C1C65" w14:textId="77777777" w:rsidR="00BA2D05" w:rsidRDefault="0016058C">
      <w:pPr>
        <w:pStyle w:val="Heading2"/>
        <w:rPr>
          <w:rFonts w:ascii="Palatino Linotype" w:hAnsi="Palatino Linotype"/>
        </w:rPr>
      </w:pPr>
      <w:r>
        <w:rPr>
          <w:rFonts w:ascii="Palatino Linotype" w:hAnsi="Palatino Linotype"/>
          <w:color w:val="C00000"/>
        </w:rPr>
        <w:t>The Critical Project</w:t>
      </w:r>
    </w:p>
    <w:p w14:paraId="4B4A1EDE" w14:textId="77777777" w:rsidR="00BA2D05" w:rsidRDefault="0016058C">
      <w:pPr>
        <w:rPr>
          <w:rFonts w:ascii="Palatino Linotype" w:hAnsi="Palatino Linotype"/>
          <w:sz w:val="20"/>
          <w:szCs w:val="20"/>
        </w:rPr>
      </w:pPr>
      <w:r>
        <w:rPr>
          <w:rFonts w:ascii="Palatino Linotype" w:hAnsi="Palatino Linotype"/>
          <w:sz w:val="20"/>
          <w:szCs w:val="20"/>
        </w:rPr>
        <w:t xml:space="preserve">General introduction to the module; the project of putting metaphysics on firm foundations; the analytic/synthetic and a priori/a posteriori distinctions; the empiricist and rationalist context; what ‘transcendental’ means; the thing </w:t>
      </w:r>
      <w:proofErr w:type="gramStart"/>
      <w:r>
        <w:rPr>
          <w:rFonts w:ascii="Palatino Linotype" w:hAnsi="Palatino Linotype"/>
          <w:sz w:val="20"/>
          <w:szCs w:val="20"/>
        </w:rPr>
        <w:t>in itself and</w:t>
      </w:r>
      <w:proofErr w:type="gramEnd"/>
      <w:r>
        <w:rPr>
          <w:rFonts w:ascii="Palatino Linotype" w:hAnsi="Palatino Linotype"/>
          <w:sz w:val="20"/>
          <w:szCs w:val="20"/>
        </w:rPr>
        <w:t xml:space="preserve"> phenomena.</w:t>
      </w:r>
    </w:p>
    <w:p w14:paraId="758EF742" w14:textId="77777777" w:rsidR="00BA2D05" w:rsidRDefault="00BA2D05">
      <w:pPr>
        <w:rPr>
          <w:rFonts w:ascii="Palatino Linotype" w:hAnsi="Palatino Linotype"/>
          <w:sz w:val="20"/>
          <w:szCs w:val="20"/>
        </w:rPr>
      </w:pPr>
    </w:p>
    <w:p w14:paraId="08B0A7F3" w14:textId="77777777" w:rsidR="00BA2D05" w:rsidRDefault="0016058C">
      <w:pPr>
        <w:ind w:left="284" w:hanging="284"/>
        <w:rPr>
          <w:rFonts w:ascii="Palatino Linotype" w:hAnsi="Palatino Linotype"/>
        </w:rPr>
      </w:pPr>
      <w:r>
        <w:rPr>
          <w:rFonts w:ascii="Palatino Linotype" w:hAnsi="Palatino Linotype"/>
          <w:b/>
          <w:bCs/>
        </w:rPr>
        <w:t>*</w:t>
      </w:r>
      <w:r>
        <w:rPr>
          <w:rFonts w:ascii="Palatino Linotype" w:hAnsi="Palatino Linotype"/>
          <w:b/>
          <w:bCs/>
          <w:i/>
          <w:iCs/>
        </w:rPr>
        <w:t>Prolegomena</w:t>
      </w:r>
      <w:r>
        <w:rPr>
          <w:rFonts w:ascii="Palatino Linotype" w:hAnsi="Palatino Linotype"/>
        </w:rPr>
        <w:t>: ‘Preface’</w:t>
      </w:r>
    </w:p>
    <w:p w14:paraId="7C27CA40" w14:textId="77777777" w:rsidR="00BA2D05" w:rsidRDefault="0016058C">
      <w:pPr>
        <w:ind w:left="284" w:hanging="284"/>
        <w:rPr>
          <w:rFonts w:ascii="Palatino Linotype" w:hAnsi="Palatino Linotype"/>
        </w:rPr>
      </w:pPr>
      <w:r>
        <w:rPr>
          <w:rFonts w:ascii="Palatino Linotype" w:hAnsi="Palatino Linotype"/>
          <w:b/>
          <w:bCs/>
        </w:rPr>
        <w:t>*</w:t>
      </w:r>
      <w:r>
        <w:rPr>
          <w:rFonts w:ascii="Palatino Linotype" w:hAnsi="Palatino Linotype"/>
          <w:b/>
          <w:bCs/>
          <w:i/>
          <w:iCs/>
        </w:rPr>
        <w:t>Critique of Pure Reason</w:t>
      </w:r>
      <w:r>
        <w:rPr>
          <w:rFonts w:ascii="Palatino Linotype" w:hAnsi="Palatino Linotype"/>
        </w:rPr>
        <w:t>: ‘Preface’ to the First Edition (</w:t>
      </w:r>
      <w:proofErr w:type="spellStart"/>
      <w:r>
        <w:rPr>
          <w:rFonts w:ascii="Palatino Linotype" w:hAnsi="Palatino Linotype"/>
        </w:rPr>
        <w:t>Avii</w:t>
      </w:r>
      <w:proofErr w:type="spellEnd"/>
      <w:r>
        <w:rPr>
          <w:rFonts w:ascii="Palatino Linotype" w:hAnsi="Palatino Linotype"/>
        </w:rPr>
        <w:t xml:space="preserve">-xxii) </w:t>
      </w:r>
      <w:r>
        <w:rPr>
          <w:rFonts w:ascii="Palatino Linotype" w:hAnsi="Palatino Linotype"/>
          <w:i/>
          <w:iCs/>
        </w:rPr>
        <w:t>and</w:t>
      </w:r>
      <w:r>
        <w:rPr>
          <w:rFonts w:ascii="Palatino Linotype" w:hAnsi="Palatino Linotype"/>
        </w:rPr>
        <w:t xml:space="preserve"> ‘Preface’ to the Second Edition (</w:t>
      </w:r>
      <w:proofErr w:type="spellStart"/>
      <w:r>
        <w:rPr>
          <w:rFonts w:ascii="Palatino Linotype" w:hAnsi="Palatino Linotype"/>
        </w:rPr>
        <w:t>Bvii</w:t>
      </w:r>
      <w:proofErr w:type="spellEnd"/>
      <w:r>
        <w:rPr>
          <w:rFonts w:ascii="Palatino Linotype" w:hAnsi="Palatino Linotype"/>
        </w:rPr>
        <w:t>-xliv)</w:t>
      </w:r>
    </w:p>
    <w:p w14:paraId="1D86E333" w14:textId="77777777" w:rsidR="00BA2D05" w:rsidRDefault="0016058C">
      <w:pPr>
        <w:ind w:left="284" w:hanging="284"/>
        <w:rPr>
          <w:rFonts w:ascii="Palatino Linotype" w:hAnsi="Palatino Linotype"/>
        </w:rPr>
      </w:pPr>
      <w:r>
        <w:rPr>
          <w:rFonts w:ascii="Palatino Linotype" w:hAnsi="Palatino Linotype"/>
          <w:b/>
          <w:bCs/>
          <w:i/>
          <w:iCs/>
        </w:rPr>
        <w:t>Critique of Pure Reason</w:t>
      </w:r>
      <w:r>
        <w:rPr>
          <w:rFonts w:ascii="Palatino Linotype" w:hAnsi="Palatino Linotype"/>
        </w:rPr>
        <w:t xml:space="preserve">: ‘Introduction’ to the First Edition (A1–16) </w:t>
      </w:r>
      <w:r>
        <w:rPr>
          <w:rFonts w:ascii="Palatino Linotype" w:hAnsi="Palatino Linotype"/>
          <w:i/>
          <w:iCs/>
        </w:rPr>
        <w:t>and</w:t>
      </w:r>
      <w:r>
        <w:rPr>
          <w:rFonts w:ascii="Palatino Linotype" w:hAnsi="Palatino Linotype"/>
        </w:rPr>
        <w:t xml:space="preserve"> ‘Introduction’ to the Second Edition (B1–30)</w:t>
      </w:r>
    </w:p>
    <w:p w14:paraId="5AC6EF5F" w14:textId="77777777" w:rsidR="00BA2D05" w:rsidRDefault="00BA2D05">
      <w:pPr>
        <w:ind w:left="284" w:hanging="284"/>
        <w:rPr>
          <w:rFonts w:ascii="Palatino Linotype" w:hAnsi="Palatino Linotype"/>
          <w:sz w:val="20"/>
          <w:szCs w:val="20"/>
        </w:rPr>
      </w:pPr>
    </w:p>
    <w:p w14:paraId="1CD9F32B" w14:textId="77777777" w:rsidR="00BA2D05" w:rsidRDefault="0016058C">
      <w:pPr>
        <w:rPr>
          <w:rFonts w:ascii="Palatino Linotype" w:hAnsi="Palatino Linotype"/>
          <w:sz w:val="20"/>
          <w:szCs w:val="20"/>
        </w:rPr>
      </w:pPr>
      <w:r>
        <w:rPr>
          <w:rFonts w:ascii="Palatino Linotype" w:hAnsi="Palatino Linotype"/>
          <w:sz w:val="20"/>
          <w:szCs w:val="20"/>
        </w:rPr>
        <w:t>For background on the empiricist and rationalist traditions which Kant was in some sense synthesising, see:</w:t>
      </w:r>
    </w:p>
    <w:p w14:paraId="7052826C" w14:textId="77777777" w:rsidR="00BA2D05" w:rsidRDefault="0016058C">
      <w:pPr>
        <w:ind w:left="284" w:hanging="284"/>
        <w:rPr>
          <w:rFonts w:ascii="Palatino Linotype" w:hAnsi="Palatino Linotype"/>
          <w:color w:val="1A1A1A"/>
          <w:sz w:val="20"/>
          <w:szCs w:val="20"/>
        </w:rPr>
      </w:pPr>
      <w:r>
        <w:rPr>
          <w:rFonts w:ascii="Palatino Linotype" w:hAnsi="Palatino Linotype"/>
          <w:b/>
          <w:bCs/>
          <w:color w:val="1A1A1A"/>
          <w:sz w:val="20"/>
          <w:szCs w:val="20"/>
        </w:rPr>
        <w:t xml:space="preserve">Peter Markie and M. </w:t>
      </w:r>
      <w:proofErr w:type="spellStart"/>
      <w:r>
        <w:rPr>
          <w:rFonts w:ascii="Palatino Linotype" w:hAnsi="Palatino Linotype"/>
          <w:b/>
          <w:bCs/>
          <w:color w:val="1A1A1A"/>
          <w:sz w:val="20"/>
          <w:szCs w:val="20"/>
        </w:rPr>
        <w:t>Folescu</w:t>
      </w:r>
      <w:proofErr w:type="spellEnd"/>
      <w:r>
        <w:rPr>
          <w:rFonts w:ascii="Palatino Linotype" w:hAnsi="Palatino Linotype"/>
          <w:color w:val="1A1A1A"/>
          <w:sz w:val="20"/>
          <w:szCs w:val="20"/>
        </w:rPr>
        <w:t xml:space="preserve"> (2021), </w:t>
      </w:r>
      <w:hyperlink r:id="rId27" w:history="1">
        <w:r>
          <w:rPr>
            <w:rStyle w:val="Hyperlink"/>
            <w:rFonts w:ascii="Palatino Linotype" w:hAnsi="Palatino Linotype"/>
            <w:sz w:val="20"/>
            <w:szCs w:val="20"/>
          </w:rPr>
          <w:t>‘Rationalism vs. Empiricism’</w:t>
        </w:r>
      </w:hyperlink>
      <w:r>
        <w:rPr>
          <w:rFonts w:ascii="Palatino Linotype" w:hAnsi="Palatino Linotype"/>
          <w:sz w:val="20"/>
          <w:szCs w:val="20"/>
        </w:rPr>
        <w:t xml:space="preserve">, </w:t>
      </w:r>
      <w:r>
        <w:rPr>
          <w:rStyle w:val="Emphasis"/>
          <w:rFonts w:ascii="Palatino Linotype" w:hAnsi="Palatino Linotype"/>
          <w:color w:val="1A1A1A"/>
          <w:sz w:val="20"/>
          <w:szCs w:val="20"/>
        </w:rPr>
        <w:t xml:space="preserve">The Stanford </w:t>
      </w:r>
      <w:proofErr w:type="spellStart"/>
      <w:r>
        <w:rPr>
          <w:rStyle w:val="Emphasis"/>
          <w:rFonts w:ascii="Palatino Linotype" w:hAnsi="Palatino Linotype"/>
          <w:color w:val="1A1A1A"/>
          <w:sz w:val="20"/>
          <w:szCs w:val="20"/>
        </w:rPr>
        <w:t>Encyclopedia</w:t>
      </w:r>
      <w:proofErr w:type="spellEnd"/>
      <w:r>
        <w:rPr>
          <w:rStyle w:val="Emphasis"/>
          <w:rFonts w:ascii="Palatino Linotype" w:hAnsi="Palatino Linotype"/>
          <w:color w:val="1A1A1A"/>
          <w:sz w:val="20"/>
          <w:szCs w:val="20"/>
        </w:rPr>
        <w:t xml:space="preserve"> of Philosophy </w:t>
      </w:r>
      <w:r>
        <w:rPr>
          <w:rFonts w:ascii="Palatino Linotype" w:hAnsi="Palatino Linotype"/>
          <w:color w:val="1A1A1A"/>
          <w:sz w:val="20"/>
          <w:szCs w:val="20"/>
        </w:rPr>
        <w:t>(Fall 2021 Edition), Edward N. Zalta (ed.)</w:t>
      </w:r>
    </w:p>
    <w:p w14:paraId="28626637" w14:textId="77777777" w:rsidR="00BA2D05" w:rsidRDefault="00BA2D05">
      <w:pPr>
        <w:ind w:left="284" w:hanging="284"/>
        <w:rPr>
          <w:rFonts w:ascii="Palatino Linotype" w:hAnsi="Palatino Linotype"/>
          <w:color w:val="1A1A1A"/>
          <w:sz w:val="20"/>
          <w:szCs w:val="20"/>
        </w:rPr>
      </w:pPr>
    </w:p>
    <w:p w14:paraId="61F824EB" w14:textId="77777777" w:rsidR="00BA2D05" w:rsidRDefault="0016058C">
      <w:pPr>
        <w:ind w:left="284" w:hanging="284"/>
        <w:rPr>
          <w:rFonts w:ascii="Palatino Linotype" w:hAnsi="Palatino Linotype"/>
          <w:sz w:val="20"/>
          <w:szCs w:val="20"/>
        </w:rPr>
      </w:pPr>
      <w:r>
        <w:rPr>
          <w:rFonts w:ascii="Palatino Linotype" w:hAnsi="Palatino Linotype"/>
          <w:sz w:val="20"/>
          <w:szCs w:val="20"/>
        </w:rPr>
        <w:t>Good or classic secondary things on Kant’s general project in metaphysics and epistemology include:</w:t>
      </w:r>
    </w:p>
    <w:p w14:paraId="07AD3C84"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P. F. Strawson</w:t>
      </w:r>
      <w:r>
        <w:rPr>
          <w:rFonts w:ascii="Palatino Linotype" w:hAnsi="Palatino Linotype"/>
          <w:sz w:val="20"/>
          <w:szCs w:val="20"/>
        </w:rPr>
        <w:t xml:space="preserve"> [1966], </w:t>
      </w:r>
      <w:hyperlink r:id="rId28" w:history="1">
        <w:r>
          <w:rPr>
            <w:rStyle w:val="Hyperlink"/>
            <w:rFonts w:ascii="Palatino Linotype" w:hAnsi="Palatino Linotype"/>
            <w:i/>
            <w:iCs/>
            <w:sz w:val="20"/>
            <w:szCs w:val="20"/>
          </w:rPr>
          <w:t>The Bounds of Sense: An Essay on Kant’s Critique of Pure Reason</w:t>
        </w:r>
      </w:hyperlink>
      <w:r>
        <w:rPr>
          <w:rFonts w:ascii="Palatino Linotype" w:hAnsi="Palatino Linotype"/>
          <w:sz w:val="20"/>
          <w:szCs w:val="20"/>
        </w:rPr>
        <w:t xml:space="preserve"> (London: Routledge, 1975), Part One</w:t>
      </w:r>
    </w:p>
    <w:p w14:paraId="1BF75212"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Paul Guyer</w:t>
      </w:r>
      <w:r>
        <w:rPr>
          <w:rFonts w:ascii="Palatino Linotype" w:hAnsi="Palatino Linotype"/>
          <w:sz w:val="20"/>
          <w:szCs w:val="20"/>
        </w:rPr>
        <w:t xml:space="preserve"> (1992). </w:t>
      </w:r>
      <w:hyperlink r:id="rId29" w:history="1">
        <w:r>
          <w:rPr>
            <w:rStyle w:val="Hyperlink"/>
            <w:rFonts w:ascii="Palatino Linotype" w:hAnsi="Palatino Linotype"/>
            <w:sz w:val="20"/>
            <w:szCs w:val="20"/>
          </w:rPr>
          <w:t>‘Introduction: The Starry Heavens and the Moral Law’</w:t>
        </w:r>
      </w:hyperlink>
      <w:r>
        <w:rPr>
          <w:rFonts w:ascii="Palatino Linotype" w:hAnsi="Palatino Linotype"/>
          <w:sz w:val="20"/>
          <w:szCs w:val="20"/>
        </w:rPr>
        <w:t xml:space="preserve"> in Paul Guyer (ed.), </w:t>
      </w:r>
      <w:r>
        <w:rPr>
          <w:rFonts w:ascii="Palatino Linotype" w:hAnsi="Palatino Linotype"/>
          <w:i/>
          <w:iCs/>
          <w:sz w:val="20"/>
          <w:szCs w:val="20"/>
        </w:rPr>
        <w:t>The Cambridge Companion to Kant</w:t>
      </w:r>
      <w:r>
        <w:rPr>
          <w:rFonts w:ascii="Palatino Linotype" w:hAnsi="Palatino Linotype"/>
          <w:sz w:val="20"/>
          <w:szCs w:val="20"/>
        </w:rPr>
        <w:t xml:space="preserve"> (Cambridge: Cambridge University Press)</w:t>
      </w:r>
    </w:p>
    <w:p w14:paraId="7A144644"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Sebastian Gardner</w:t>
      </w:r>
      <w:r>
        <w:rPr>
          <w:rFonts w:ascii="Palatino Linotype" w:hAnsi="Palatino Linotype"/>
          <w:sz w:val="20"/>
          <w:szCs w:val="20"/>
        </w:rPr>
        <w:t xml:space="preserve"> (1999), </w:t>
      </w:r>
      <w:hyperlink r:id="rId30" w:history="1">
        <w:r>
          <w:rPr>
            <w:rStyle w:val="Hyperlink"/>
            <w:rFonts w:ascii="Palatino Linotype" w:hAnsi="Palatino Linotype"/>
            <w:i/>
            <w:iCs/>
            <w:sz w:val="20"/>
            <w:szCs w:val="20"/>
          </w:rPr>
          <w:t>Routledge Philosophy Guidebook to Kant and the Critique of Pure Reason</w:t>
        </w:r>
      </w:hyperlink>
      <w:r>
        <w:rPr>
          <w:rFonts w:ascii="Palatino Linotype" w:hAnsi="Palatino Linotype"/>
          <w:sz w:val="20"/>
          <w:szCs w:val="20"/>
        </w:rPr>
        <w:t xml:space="preserve"> (London: Routledge), Chapter 1</w:t>
      </w:r>
    </w:p>
    <w:p w14:paraId="76D894B6" w14:textId="77777777" w:rsidR="00BA2D05" w:rsidRDefault="00BA2D05">
      <w:pPr>
        <w:ind w:left="284" w:hanging="284"/>
        <w:rPr>
          <w:rFonts w:ascii="Palatino Linotype" w:hAnsi="Palatino Linotype"/>
          <w:sz w:val="20"/>
          <w:szCs w:val="20"/>
        </w:rPr>
      </w:pPr>
    </w:p>
    <w:p w14:paraId="6DCE0D9D" w14:textId="77777777" w:rsidR="00BA2D05" w:rsidRDefault="00BA2D05">
      <w:pPr>
        <w:rPr>
          <w:rFonts w:ascii="Palatino Linotype" w:hAnsi="Palatino Linotype"/>
        </w:rPr>
      </w:pPr>
    </w:p>
    <w:p w14:paraId="14ED37D9" w14:textId="77777777" w:rsidR="00BA2D05" w:rsidRDefault="0016058C">
      <w:pPr>
        <w:pStyle w:val="Heading2"/>
        <w:rPr>
          <w:rFonts w:ascii="Palatino Linotype" w:hAnsi="Palatino Linotype"/>
          <w:color w:val="C00000"/>
        </w:rPr>
      </w:pPr>
      <w:r>
        <w:rPr>
          <w:rFonts w:ascii="Palatino Linotype" w:hAnsi="Palatino Linotype"/>
          <w:color w:val="C00000"/>
        </w:rPr>
        <w:t xml:space="preserve">Week 3: </w:t>
      </w:r>
    </w:p>
    <w:p w14:paraId="6B844464" w14:textId="77777777" w:rsidR="00BA2D05" w:rsidRDefault="0016058C">
      <w:pPr>
        <w:pStyle w:val="Heading2"/>
        <w:rPr>
          <w:rFonts w:ascii="Palatino Linotype" w:hAnsi="Palatino Linotype"/>
        </w:rPr>
      </w:pPr>
      <w:r>
        <w:rPr>
          <w:rFonts w:ascii="Palatino Linotype" w:hAnsi="Palatino Linotype"/>
          <w:color w:val="C00000"/>
        </w:rPr>
        <w:t>The Forms of Sensibility and the Possibility of Mathematical Knowledge</w:t>
      </w:r>
    </w:p>
    <w:p w14:paraId="4C4091E2" w14:textId="77777777" w:rsidR="00BA2D05" w:rsidRDefault="0016058C">
      <w:pPr>
        <w:rPr>
          <w:rFonts w:ascii="Palatino Linotype" w:hAnsi="Palatino Linotype"/>
          <w:sz w:val="20"/>
          <w:szCs w:val="20"/>
        </w:rPr>
      </w:pPr>
      <w:r>
        <w:rPr>
          <w:rFonts w:ascii="Palatino Linotype" w:hAnsi="Palatino Linotype"/>
          <w:sz w:val="20"/>
          <w:szCs w:val="20"/>
        </w:rPr>
        <w:t xml:space="preserve">The ingredients of experience and cognition: intuition and concepts; space as the form of outer </w:t>
      </w:r>
      <w:r>
        <w:rPr>
          <w:rFonts w:ascii="Palatino Linotype" w:hAnsi="Palatino Linotype"/>
          <w:sz w:val="20"/>
          <w:szCs w:val="20"/>
        </w:rPr>
        <w:t>intuition; time as the form of inner intuition; the ‘neglected alternative’ objection.</w:t>
      </w:r>
    </w:p>
    <w:p w14:paraId="6429781F" w14:textId="77777777" w:rsidR="00BA2D05" w:rsidRDefault="00BA2D05">
      <w:pPr>
        <w:rPr>
          <w:rFonts w:ascii="Palatino Linotype" w:hAnsi="Palatino Linotype"/>
          <w:sz w:val="20"/>
          <w:szCs w:val="20"/>
        </w:rPr>
      </w:pPr>
    </w:p>
    <w:p w14:paraId="25F2221E" w14:textId="77777777" w:rsidR="00BA2D05" w:rsidRDefault="0016058C">
      <w:pPr>
        <w:ind w:left="284" w:hanging="284"/>
        <w:rPr>
          <w:rFonts w:ascii="Palatino Linotype" w:hAnsi="Palatino Linotype"/>
        </w:rPr>
      </w:pPr>
      <w:r>
        <w:rPr>
          <w:rFonts w:ascii="Palatino Linotype" w:hAnsi="Palatino Linotype"/>
          <w:b/>
          <w:bCs/>
          <w:i/>
          <w:iCs/>
        </w:rPr>
        <w:t>*Critique of Pure Reason</w:t>
      </w:r>
      <w:r>
        <w:rPr>
          <w:rFonts w:ascii="Palatino Linotype" w:hAnsi="Palatino Linotype"/>
        </w:rPr>
        <w:t>: Transcendental Doctrine of Elements, First Part: the ‘Transcendental Aesthetic’ (A19/B33 – A50/B74)</w:t>
      </w:r>
    </w:p>
    <w:p w14:paraId="55139F1B" w14:textId="77777777" w:rsidR="00BA2D05" w:rsidRDefault="0016058C">
      <w:pPr>
        <w:ind w:left="426"/>
        <w:rPr>
          <w:rFonts w:ascii="Palatino Linotype" w:hAnsi="Palatino Linotype"/>
          <w:sz w:val="20"/>
          <w:szCs w:val="20"/>
        </w:rPr>
      </w:pPr>
      <w:r>
        <w:rPr>
          <w:rFonts w:ascii="Palatino Linotype" w:hAnsi="Palatino Linotype"/>
          <w:sz w:val="20"/>
          <w:szCs w:val="20"/>
        </w:rPr>
        <w:t xml:space="preserve">Read </w:t>
      </w:r>
      <w:r>
        <w:rPr>
          <w:rFonts w:ascii="Palatino Linotype" w:hAnsi="Palatino Linotype"/>
          <w:i/>
          <w:iCs/>
          <w:sz w:val="20"/>
          <w:szCs w:val="20"/>
        </w:rPr>
        <w:t>both</w:t>
      </w:r>
      <w:r>
        <w:rPr>
          <w:rFonts w:ascii="Palatino Linotype" w:hAnsi="Palatino Linotype"/>
          <w:sz w:val="20"/>
          <w:szCs w:val="20"/>
        </w:rPr>
        <w:t xml:space="preserve"> the ‘A’ version </w:t>
      </w:r>
      <w:r>
        <w:rPr>
          <w:rFonts w:ascii="Palatino Linotype" w:hAnsi="Palatino Linotype"/>
          <w:i/>
          <w:iCs/>
          <w:sz w:val="20"/>
          <w:szCs w:val="20"/>
        </w:rPr>
        <w:t>and</w:t>
      </w:r>
      <w:r>
        <w:rPr>
          <w:rFonts w:ascii="Palatino Linotype" w:hAnsi="Palatino Linotype"/>
          <w:sz w:val="20"/>
          <w:szCs w:val="20"/>
        </w:rPr>
        <w:t xml:space="preserve"> the ‘B’ version, printed one after the other in the Cambridge edition. If you struggle or can’t get through it all, concentrate on the sections on </w:t>
      </w:r>
      <w:r>
        <w:rPr>
          <w:rFonts w:ascii="Palatino Linotype" w:hAnsi="Palatino Linotype"/>
          <w:i/>
          <w:iCs/>
          <w:sz w:val="20"/>
          <w:szCs w:val="20"/>
        </w:rPr>
        <w:t>space</w:t>
      </w:r>
      <w:r>
        <w:rPr>
          <w:rFonts w:ascii="Palatino Linotype" w:hAnsi="Palatino Linotype"/>
          <w:sz w:val="20"/>
          <w:szCs w:val="20"/>
        </w:rPr>
        <w:t xml:space="preserve"> (rather than time – although the time sections also matter and you should read them at some point if not now). </w:t>
      </w:r>
    </w:p>
    <w:p w14:paraId="6CCBB037" w14:textId="77777777" w:rsidR="00BA2D05" w:rsidRDefault="0016058C">
      <w:pPr>
        <w:rPr>
          <w:rFonts w:ascii="Palatino Linotype" w:hAnsi="Palatino Linotype"/>
        </w:rPr>
      </w:pPr>
      <w:r>
        <w:rPr>
          <w:rFonts w:ascii="Palatino Linotype" w:hAnsi="Palatino Linotype"/>
          <w:b/>
          <w:bCs/>
          <w:i/>
          <w:iCs/>
        </w:rPr>
        <w:t>Prolegomena</w:t>
      </w:r>
      <w:r>
        <w:rPr>
          <w:rFonts w:ascii="Palatino Linotype" w:hAnsi="Palatino Linotype"/>
        </w:rPr>
        <w:t>: ‘The Main Transcendental Question, First Part’, §6 – Note III (4:280–294)</w:t>
      </w:r>
    </w:p>
    <w:p w14:paraId="5D340CEA" w14:textId="77777777" w:rsidR="00BA2D05" w:rsidRDefault="00BA2D05">
      <w:pPr>
        <w:rPr>
          <w:rFonts w:ascii="Palatino Linotype" w:hAnsi="Palatino Linotype"/>
          <w:sz w:val="20"/>
          <w:szCs w:val="20"/>
        </w:rPr>
      </w:pPr>
    </w:p>
    <w:p w14:paraId="30E04C3E" w14:textId="77777777" w:rsidR="00BA2D05" w:rsidRDefault="0016058C">
      <w:pPr>
        <w:ind w:left="284" w:hanging="284"/>
        <w:rPr>
          <w:rFonts w:ascii="Palatino Linotype" w:hAnsi="Palatino Linotype"/>
          <w:b/>
          <w:bCs/>
          <w:sz w:val="20"/>
          <w:szCs w:val="20"/>
        </w:rPr>
      </w:pPr>
      <w:r>
        <w:rPr>
          <w:rFonts w:ascii="Palatino Linotype" w:hAnsi="Palatino Linotype"/>
          <w:b/>
          <w:bCs/>
          <w:sz w:val="20"/>
          <w:szCs w:val="20"/>
        </w:rPr>
        <w:t>Sebastian Gardner</w:t>
      </w:r>
      <w:r>
        <w:rPr>
          <w:rFonts w:ascii="Palatino Linotype" w:hAnsi="Palatino Linotype"/>
          <w:sz w:val="20"/>
          <w:szCs w:val="20"/>
        </w:rPr>
        <w:t xml:space="preserve"> (1999), </w:t>
      </w:r>
      <w:hyperlink r:id="rId31" w:history="1">
        <w:r>
          <w:rPr>
            <w:rStyle w:val="Hyperlink"/>
            <w:rFonts w:ascii="Palatino Linotype" w:hAnsi="Palatino Linotype"/>
            <w:i/>
            <w:iCs/>
            <w:sz w:val="20"/>
            <w:szCs w:val="20"/>
          </w:rPr>
          <w:t>Routledge Philosophy Guidebook to Kant and the Critique of Pure Reason</w:t>
        </w:r>
      </w:hyperlink>
      <w:r>
        <w:rPr>
          <w:rFonts w:ascii="Palatino Linotype" w:hAnsi="Palatino Linotype"/>
          <w:sz w:val="20"/>
          <w:szCs w:val="20"/>
        </w:rPr>
        <w:t xml:space="preserve"> (London: Routledge), Chapter 4.</w:t>
      </w:r>
    </w:p>
    <w:p w14:paraId="27D9BB32"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 xml:space="preserve">James Van Cleve </w:t>
      </w:r>
      <w:r>
        <w:rPr>
          <w:rFonts w:ascii="Palatino Linotype" w:hAnsi="Palatino Linotype"/>
          <w:sz w:val="20"/>
          <w:szCs w:val="20"/>
        </w:rPr>
        <w:t xml:space="preserve">(1999), </w:t>
      </w:r>
      <w:hyperlink r:id="rId32" w:history="1">
        <w:r>
          <w:rPr>
            <w:rStyle w:val="Hyperlink"/>
            <w:rFonts w:ascii="Palatino Linotype" w:hAnsi="Palatino Linotype"/>
            <w:i/>
            <w:iCs/>
            <w:sz w:val="20"/>
            <w:szCs w:val="20"/>
          </w:rPr>
          <w:t>Problems from Kant</w:t>
        </w:r>
      </w:hyperlink>
      <w:r>
        <w:rPr>
          <w:rFonts w:ascii="Palatino Linotype" w:hAnsi="Palatino Linotype"/>
          <w:sz w:val="20"/>
          <w:szCs w:val="20"/>
        </w:rPr>
        <w:t xml:space="preserve"> (Oxford: Oxford University Press), Chapter 3.</w:t>
      </w:r>
    </w:p>
    <w:p w14:paraId="66EF2A61" w14:textId="77777777" w:rsidR="00BA2D05" w:rsidRDefault="0016058C">
      <w:pPr>
        <w:ind w:left="426"/>
        <w:rPr>
          <w:rFonts w:ascii="Palatino Linotype" w:hAnsi="Palatino Linotype"/>
          <w:sz w:val="18"/>
          <w:szCs w:val="18"/>
        </w:rPr>
      </w:pPr>
      <w:r>
        <w:rPr>
          <w:rFonts w:ascii="Palatino Linotype" w:hAnsi="Palatino Linotype"/>
          <w:sz w:val="18"/>
          <w:szCs w:val="18"/>
        </w:rPr>
        <w:t xml:space="preserve">This gets a bit technical but is a </w:t>
      </w:r>
      <w:proofErr w:type="gramStart"/>
      <w:r>
        <w:rPr>
          <w:rFonts w:ascii="Palatino Linotype" w:hAnsi="Palatino Linotype"/>
          <w:sz w:val="18"/>
          <w:szCs w:val="18"/>
        </w:rPr>
        <w:t>really good</w:t>
      </w:r>
      <w:proofErr w:type="gramEnd"/>
      <w:r>
        <w:rPr>
          <w:rFonts w:ascii="Palatino Linotype" w:hAnsi="Palatino Linotype"/>
          <w:sz w:val="18"/>
          <w:szCs w:val="18"/>
        </w:rPr>
        <w:t xml:space="preserve"> discussion of some important aspects of Kant’s arguments and views about the </w:t>
      </w:r>
      <w:proofErr w:type="spellStart"/>
      <w:r>
        <w:rPr>
          <w:rFonts w:ascii="Palatino Linotype" w:hAnsi="Palatino Linotype"/>
          <w:sz w:val="18"/>
          <w:szCs w:val="18"/>
        </w:rPr>
        <w:t>ideality</w:t>
      </w:r>
      <w:proofErr w:type="spellEnd"/>
      <w:r>
        <w:rPr>
          <w:rFonts w:ascii="Palatino Linotype" w:hAnsi="Palatino Linotype"/>
          <w:sz w:val="18"/>
          <w:szCs w:val="18"/>
        </w:rPr>
        <w:t xml:space="preserve"> of space – including something on the ‘neglected alternative’ objection. </w:t>
      </w:r>
    </w:p>
    <w:p w14:paraId="0039B471" w14:textId="77777777" w:rsidR="00BA2D05" w:rsidRDefault="00BA2D05">
      <w:pPr>
        <w:rPr>
          <w:rFonts w:ascii="Palatino Linotype" w:hAnsi="Palatino Linotype"/>
        </w:rPr>
      </w:pPr>
    </w:p>
    <w:p w14:paraId="40CC076D" w14:textId="77777777" w:rsidR="00BA2D05" w:rsidRDefault="0016058C">
      <w:pPr>
        <w:pStyle w:val="Heading2"/>
        <w:rPr>
          <w:rFonts w:ascii="Palatino Linotype" w:hAnsi="Palatino Linotype"/>
          <w:color w:val="C00000"/>
        </w:rPr>
      </w:pPr>
      <w:r>
        <w:rPr>
          <w:rFonts w:ascii="Palatino Linotype" w:hAnsi="Palatino Linotype"/>
          <w:color w:val="C00000"/>
        </w:rPr>
        <w:lastRenderedPageBreak/>
        <w:t xml:space="preserve">Week 4: </w:t>
      </w:r>
    </w:p>
    <w:p w14:paraId="6E45B929" w14:textId="77777777" w:rsidR="00BA2D05" w:rsidRDefault="0016058C">
      <w:pPr>
        <w:pStyle w:val="Heading2"/>
        <w:rPr>
          <w:rFonts w:ascii="Palatino Linotype" w:hAnsi="Palatino Linotype"/>
        </w:rPr>
      </w:pPr>
      <w:r>
        <w:rPr>
          <w:rFonts w:ascii="Palatino Linotype" w:hAnsi="Palatino Linotype"/>
          <w:color w:val="C00000"/>
        </w:rPr>
        <w:t>The Transcendental Deduction of the Categories</w:t>
      </w:r>
    </w:p>
    <w:p w14:paraId="03DD5CF3" w14:textId="77777777" w:rsidR="00BA2D05" w:rsidRDefault="0016058C">
      <w:pPr>
        <w:rPr>
          <w:rFonts w:ascii="Palatino Linotype" w:hAnsi="Palatino Linotype"/>
          <w:sz w:val="20"/>
          <w:szCs w:val="20"/>
        </w:rPr>
      </w:pPr>
      <w:r>
        <w:rPr>
          <w:rFonts w:ascii="Palatino Linotype" w:hAnsi="Palatino Linotype"/>
          <w:sz w:val="20"/>
          <w:szCs w:val="20"/>
        </w:rPr>
        <w:t>Categories as a special kind of concept; the ‘manifold of experience’ and the role of imagination; the ‘transcendental deduction’; the ‘schematism’, including the account of causation (and how it differs from Hume’s account).</w:t>
      </w:r>
    </w:p>
    <w:p w14:paraId="5E437DEA" w14:textId="77777777" w:rsidR="00BA2D05" w:rsidRDefault="00BA2D05">
      <w:pPr>
        <w:rPr>
          <w:rFonts w:ascii="Palatino Linotype" w:hAnsi="Palatino Linotype"/>
          <w:sz w:val="20"/>
          <w:szCs w:val="20"/>
        </w:rPr>
      </w:pPr>
    </w:p>
    <w:p w14:paraId="5E425738" w14:textId="77777777" w:rsidR="00BA2D05" w:rsidRDefault="0016058C">
      <w:pPr>
        <w:ind w:left="284" w:hanging="284"/>
        <w:rPr>
          <w:rFonts w:ascii="Palatino Linotype" w:hAnsi="Palatino Linotype"/>
        </w:rPr>
      </w:pPr>
      <w:r>
        <w:rPr>
          <w:rFonts w:ascii="Palatino Linotype" w:hAnsi="Palatino Linotype"/>
          <w:b/>
          <w:bCs/>
          <w:i/>
          <w:iCs/>
        </w:rPr>
        <w:t>*Critique of Pure Reason</w:t>
      </w:r>
      <w:r>
        <w:rPr>
          <w:rFonts w:ascii="Palatino Linotype" w:hAnsi="Palatino Linotype"/>
        </w:rPr>
        <w:t>: ‘Of the Deduction of the Pure Concepts of the Understanding, Second Section: Transcendental Deduction of the Pure Concepts of the Understanding’ (B129–169)</w:t>
      </w:r>
    </w:p>
    <w:p w14:paraId="3218D7AF" w14:textId="77777777" w:rsidR="00BA2D05" w:rsidRDefault="0016058C">
      <w:pPr>
        <w:ind w:left="426"/>
        <w:rPr>
          <w:rFonts w:ascii="Palatino Linotype" w:hAnsi="Palatino Linotype"/>
          <w:sz w:val="20"/>
          <w:szCs w:val="20"/>
        </w:rPr>
      </w:pPr>
      <w:r>
        <w:rPr>
          <w:rFonts w:ascii="Palatino Linotype" w:hAnsi="Palatino Linotype"/>
          <w:sz w:val="20"/>
          <w:szCs w:val="20"/>
        </w:rPr>
        <w:t xml:space="preserve">This (pp. 245–66 in the Cambridge edition) is the crucial part of the ‘B’ version of the ‘transcendental deduction’, which is quite different from the ‘A’ version. But the argument of this passage is drawing on ideas discussed earlier in the text. So, if you can manage it, for a more complete view of the argument unfolding, also read the </w:t>
      </w:r>
      <w:r>
        <w:rPr>
          <w:rFonts w:ascii="Palatino Linotype" w:hAnsi="Palatino Linotype"/>
          <w:b/>
          <w:bCs/>
          <w:sz w:val="20"/>
          <w:szCs w:val="20"/>
        </w:rPr>
        <w:t>First Section (A84/B116 – A95/B129)</w:t>
      </w:r>
      <w:r>
        <w:rPr>
          <w:rFonts w:ascii="Palatino Linotype" w:hAnsi="Palatino Linotype"/>
          <w:sz w:val="20"/>
          <w:szCs w:val="20"/>
        </w:rPr>
        <w:t xml:space="preserve"> which introduces the idea of a transcendental ‘deduction’ (pp. 219–26 in the Cambridge edition). To read both (‘A’ and ‘B’) versions of the deduction, simply read though all of pp. 219–66 (Cambridge edition). </w:t>
      </w:r>
    </w:p>
    <w:p w14:paraId="7E173454" w14:textId="77777777" w:rsidR="00BA2D05" w:rsidRDefault="0016058C">
      <w:pPr>
        <w:ind w:left="284" w:hanging="284"/>
        <w:rPr>
          <w:rFonts w:ascii="Palatino Linotype" w:hAnsi="Palatino Linotype"/>
        </w:rPr>
      </w:pPr>
      <w:r>
        <w:rPr>
          <w:rFonts w:ascii="Palatino Linotype" w:hAnsi="Palatino Linotype"/>
          <w:b/>
          <w:bCs/>
          <w:i/>
          <w:iCs/>
        </w:rPr>
        <w:t>Critique of Pure Reason</w:t>
      </w:r>
      <w:r>
        <w:rPr>
          <w:rFonts w:ascii="Palatino Linotype" w:hAnsi="Palatino Linotype"/>
        </w:rPr>
        <w:t xml:space="preserve">: ‘The Transcendental Doctrine of the Power of Judgement (or Analytic of Principles), First Chapter: On the Schematism of the Pure Concepts of the Understanding’ (A137/B176–A147/B187) </w:t>
      </w:r>
      <w:r>
        <w:rPr>
          <w:rFonts w:ascii="Palatino Linotype" w:hAnsi="Palatino Linotype"/>
          <w:i/>
          <w:iCs/>
        </w:rPr>
        <w:t xml:space="preserve">AND </w:t>
      </w:r>
      <w:r>
        <w:rPr>
          <w:rFonts w:ascii="Palatino Linotype" w:hAnsi="Palatino Linotype"/>
        </w:rPr>
        <w:t xml:space="preserve">‘Second Analogy’ (A189/B233–A211/B256) </w:t>
      </w:r>
    </w:p>
    <w:p w14:paraId="5B3F7FF6" w14:textId="77777777" w:rsidR="00BA2D05" w:rsidRDefault="0016058C">
      <w:pPr>
        <w:ind w:left="426"/>
        <w:rPr>
          <w:rFonts w:ascii="Palatino Linotype" w:hAnsi="Palatino Linotype"/>
          <w:sz w:val="20"/>
          <w:szCs w:val="20"/>
        </w:rPr>
      </w:pPr>
      <w:r>
        <w:rPr>
          <w:rFonts w:ascii="Palatino Linotype" w:hAnsi="Palatino Linotype"/>
          <w:sz w:val="20"/>
          <w:szCs w:val="20"/>
        </w:rPr>
        <w:t xml:space="preserve">So as not to overwhelm you with reading, I’ve not marked these parts of the text as essential. But they – and the ideas from them which I’ll explain in the lecture – are important, so try to read these sections at some point, even if you can’t manage it before your lecture or even seminar. And if you </w:t>
      </w:r>
      <w:r>
        <w:rPr>
          <w:rFonts w:ascii="Palatino Linotype" w:hAnsi="Palatino Linotype"/>
          <w:i/>
          <w:iCs/>
          <w:sz w:val="20"/>
          <w:szCs w:val="20"/>
        </w:rPr>
        <w:t>can</w:t>
      </w:r>
      <w:r>
        <w:rPr>
          <w:rFonts w:ascii="Palatino Linotype" w:hAnsi="Palatino Linotype"/>
          <w:sz w:val="20"/>
          <w:szCs w:val="20"/>
        </w:rPr>
        <w:t xml:space="preserve"> manage it, so much the better!</w:t>
      </w:r>
    </w:p>
    <w:p w14:paraId="2E1CED8A" w14:textId="77777777" w:rsidR="00BA2D05" w:rsidRDefault="00BA2D05">
      <w:pPr>
        <w:rPr>
          <w:rFonts w:ascii="Palatino Linotype" w:hAnsi="Palatino Linotype"/>
          <w:sz w:val="20"/>
          <w:szCs w:val="20"/>
        </w:rPr>
      </w:pPr>
    </w:p>
    <w:p w14:paraId="26D19390"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Henry E. Allison</w:t>
      </w:r>
      <w:r>
        <w:rPr>
          <w:rFonts w:ascii="Palatino Linotype" w:hAnsi="Palatino Linotype"/>
          <w:sz w:val="20"/>
          <w:szCs w:val="20"/>
        </w:rPr>
        <w:t xml:space="preserve"> (2004), </w:t>
      </w:r>
      <w:r>
        <w:rPr>
          <w:rFonts w:ascii="Palatino Linotype" w:hAnsi="Palatino Linotype"/>
          <w:i/>
          <w:iCs/>
          <w:sz w:val="20"/>
          <w:szCs w:val="20"/>
        </w:rPr>
        <w:t xml:space="preserve">Kant’s Transcendental Idealism: An Interpretation and </w:t>
      </w:r>
      <w:proofErr w:type="spellStart"/>
      <w:r>
        <w:rPr>
          <w:rFonts w:ascii="Palatino Linotype" w:hAnsi="Palatino Linotype"/>
          <w:i/>
          <w:iCs/>
          <w:sz w:val="20"/>
          <w:szCs w:val="20"/>
        </w:rPr>
        <w:t>Defense</w:t>
      </w:r>
      <w:proofErr w:type="spellEnd"/>
      <w:r>
        <w:rPr>
          <w:rFonts w:ascii="Palatino Linotype" w:hAnsi="Palatino Linotype"/>
          <w:i/>
          <w:iCs/>
          <w:sz w:val="20"/>
          <w:szCs w:val="20"/>
        </w:rPr>
        <w:t xml:space="preserve"> (Revised and Enlarged Edition</w:t>
      </w:r>
      <w:r>
        <w:rPr>
          <w:rFonts w:ascii="Palatino Linotype" w:hAnsi="Palatino Linotype"/>
          <w:sz w:val="20"/>
          <w:szCs w:val="20"/>
        </w:rPr>
        <w:t xml:space="preserve"> (New Haven: Yale University Press), Chapters 7 &amp; 8</w:t>
      </w:r>
    </w:p>
    <w:p w14:paraId="5116B947" w14:textId="77777777" w:rsidR="00BA2D05" w:rsidRDefault="0016058C">
      <w:pPr>
        <w:ind w:left="426"/>
        <w:rPr>
          <w:rFonts w:ascii="Palatino Linotype" w:hAnsi="Palatino Linotype"/>
          <w:color w:val="000000" w:themeColor="text1"/>
          <w:sz w:val="18"/>
          <w:szCs w:val="18"/>
        </w:rPr>
      </w:pPr>
      <w:r>
        <w:rPr>
          <w:rFonts w:ascii="Palatino Linotype" w:hAnsi="Palatino Linotype"/>
          <w:sz w:val="18"/>
          <w:szCs w:val="18"/>
        </w:rPr>
        <w:t xml:space="preserve">I’m afraid there is not (yet) an electronic version of this book in the Library (I’ll ask for Chapter 7 to be digitised for wider access), but I will draw quite heavily on esp. Chapter 7 for the lecture, so you will get a sense of Allison’s interpretation of what’s going on in the deduction from that (although I might depart – accidentally or deliberately – from Allison in some ways). </w:t>
      </w:r>
    </w:p>
    <w:p w14:paraId="6FCEBAF2"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Sebastian Gardner</w:t>
      </w:r>
      <w:r>
        <w:rPr>
          <w:rFonts w:ascii="Palatino Linotype" w:hAnsi="Palatino Linotype"/>
          <w:sz w:val="20"/>
          <w:szCs w:val="20"/>
        </w:rPr>
        <w:t xml:space="preserve"> (1999), </w:t>
      </w:r>
      <w:hyperlink r:id="rId33" w:history="1">
        <w:r>
          <w:rPr>
            <w:rStyle w:val="Hyperlink"/>
            <w:rFonts w:ascii="Palatino Linotype" w:hAnsi="Palatino Linotype"/>
            <w:i/>
            <w:iCs/>
            <w:sz w:val="20"/>
            <w:szCs w:val="20"/>
          </w:rPr>
          <w:t>Routledge Philosophy Guidebook to Kant and the Critique of Pure Reason</w:t>
        </w:r>
      </w:hyperlink>
      <w:r>
        <w:rPr>
          <w:rFonts w:ascii="Palatino Linotype" w:hAnsi="Palatino Linotype"/>
          <w:sz w:val="20"/>
          <w:szCs w:val="20"/>
        </w:rPr>
        <w:t xml:space="preserve"> (London: Routledge), Chapter 6</w:t>
      </w:r>
    </w:p>
    <w:p w14:paraId="68E6D42B"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 xml:space="preserve">James Van Cleve </w:t>
      </w:r>
      <w:r>
        <w:rPr>
          <w:rFonts w:ascii="Palatino Linotype" w:hAnsi="Palatino Linotype"/>
          <w:sz w:val="20"/>
          <w:szCs w:val="20"/>
        </w:rPr>
        <w:t xml:space="preserve">(1999), </w:t>
      </w:r>
      <w:hyperlink r:id="rId34" w:history="1">
        <w:r>
          <w:rPr>
            <w:rStyle w:val="Hyperlink"/>
            <w:rFonts w:ascii="Palatino Linotype" w:hAnsi="Palatino Linotype"/>
            <w:i/>
            <w:iCs/>
            <w:sz w:val="20"/>
            <w:szCs w:val="20"/>
          </w:rPr>
          <w:t>Problems from Kant</w:t>
        </w:r>
      </w:hyperlink>
      <w:r>
        <w:rPr>
          <w:rFonts w:ascii="Palatino Linotype" w:hAnsi="Palatino Linotype"/>
          <w:sz w:val="20"/>
          <w:szCs w:val="20"/>
        </w:rPr>
        <w:t xml:space="preserve"> (Oxford: Oxford University Press), Chapter 9</w:t>
      </w:r>
    </w:p>
    <w:p w14:paraId="7A665201" w14:textId="77777777" w:rsidR="00BA2D05" w:rsidRDefault="00BA2D05">
      <w:pPr>
        <w:rPr>
          <w:rFonts w:ascii="Palatino Linotype" w:hAnsi="Palatino Linotype"/>
        </w:rPr>
      </w:pPr>
    </w:p>
    <w:p w14:paraId="4264EF24" w14:textId="77777777" w:rsidR="00BA2D05" w:rsidRDefault="0016058C">
      <w:pPr>
        <w:pStyle w:val="Heading2"/>
        <w:rPr>
          <w:rFonts w:ascii="Palatino Linotype" w:hAnsi="Palatino Linotype"/>
          <w:color w:val="C00000"/>
        </w:rPr>
      </w:pPr>
      <w:r>
        <w:rPr>
          <w:rFonts w:ascii="Palatino Linotype" w:hAnsi="Palatino Linotype"/>
          <w:color w:val="C00000"/>
        </w:rPr>
        <w:t xml:space="preserve">Week 5: </w:t>
      </w:r>
    </w:p>
    <w:p w14:paraId="35371ECE" w14:textId="77777777" w:rsidR="00BA2D05" w:rsidRDefault="0016058C">
      <w:pPr>
        <w:pStyle w:val="Heading2"/>
        <w:rPr>
          <w:rFonts w:ascii="Palatino Linotype" w:hAnsi="Palatino Linotype"/>
          <w:color w:val="C00000"/>
        </w:rPr>
      </w:pPr>
      <w:r>
        <w:rPr>
          <w:rFonts w:ascii="Palatino Linotype" w:hAnsi="Palatino Linotype"/>
          <w:color w:val="C00000"/>
        </w:rPr>
        <w:t>The Nature of Transcendental Idealism</w:t>
      </w:r>
    </w:p>
    <w:p w14:paraId="1EA59FCD" w14:textId="77777777" w:rsidR="00BA2D05" w:rsidRDefault="0016058C">
      <w:pPr>
        <w:rPr>
          <w:rFonts w:ascii="Palatino Linotype" w:hAnsi="Palatino Linotype"/>
          <w:sz w:val="20"/>
          <w:szCs w:val="20"/>
        </w:rPr>
      </w:pPr>
      <w:r>
        <w:rPr>
          <w:rFonts w:ascii="Palatino Linotype" w:hAnsi="Palatino Linotype"/>
          <w:sz w:val="20"/>
          <w:szCs w:val="20"/>
        </w:rPr>
        <w:t xml:space="preserve">‘One-world’ vs ‘two-world’ versions of transcendental idealism; understanding (a) empirical realism, (b) empirical idealism, (c) transcendental realism and (d) transcendental idealism; the refutation of (empirical) idealism; ‘noumenal affection’. </w:t>
      </w:r>
    </w:p>
    <w:p w14:paraId="52F04294" w14:textId="77777777" w:rsidR="00BA2D05" w:rsidRDefault="00BA2D05">
      <w:pPr>
        <w:rPr>
          <w:rFonts w:ascii="Palatino Linotype" w:hAnsi="Palatino Linotype"/>
          <w:sz w:val="20"/>
          <w:szCs w:val="20"/>
        </w:rPr>
      </w:pPr>
    </w:p>
    <w:p w14:paraId="66371010" w14:textId="77777777" w:rsidR="00BA2D05" w:rsidRDefault="0016058C">
      <w:pPr>
        <w:rPr>
          <w:rFonts w:ascii="Palatino Linotype" w:hAnsi="Palatino Linotype"/>
        </w:rPr>
      </w:pPr>
      <w:r>
        <w:rPr>
          <w:rFonts w:ascii="Palatino Linotype" w:hAnsi="Palatino Linotype"/>
          <w:b/>
          <w:bCs/>
        </w:rPr>
        <w:t>*</w:t>
      </w:r>
      <w:r>
        <w:rPr>
          <w:rFonts w:ascii="Palatino Linotype" w:hAnsi="Palatino Linotype"/>
        </w:rPr>
        <w:t xml:space="preserve">This week, we will be discussing the </w:t>
      </w:r>
      <w:r>
        <w:rPr>
          <w:rFonts w:ascii="Palatino Linotype" w:hAnsi="Palatino Linotype"/>
          <w:i/>
          <w:iCs/>
        </w:rPr>
        <w:t>interpretation</w:t>
      </w:r>
      <w:r>
        <w:rPr>
          <w:rFonts w:ascii="Palatino Linotype" w:hAnsi="Palatino Linotype"/>
        </w:rPr>
        <w:t xml:space="preserve"> of some of the doctrines and arguments which we have looked at in previous weeks, so choose something (more than one, by all means!) from the secondary literature below to read. </w:t>
      </w:r>
    </w:p>
    <w:p w14:paraId="69703005" w14:textId="77777777" w:rsidR="00BA2D05" w:rsidRDefault="0016058C">
      <w:pPr>
        <w:ind w:left="284" w:hanging="284"/>
        <w:rPr>
          <w:rFonts w:ascii="Palatino Linotype" w:hAnsi="Palatino Linotype"/>
        </w:rPr>
      </w:pPr>
      <w:r>
        <w:rPr>
          <w:rFonts w:ascii="Palatino Linotype" w:hAnsi="Palatino Linotype"/>
          <w:b/>
          <w:bCs/>
        </w:rPr>
        <w:t>Henry E. Allison</w:t>
      </w:r>
      <w:r>
        <w:rPr>
          <w:rFonts w:ascii="Palatino Linotype" w:hAnsi="Palatino Linotype"/>
        </w:rPr>
        <w:t xml:space="preserve"> (2004), </w:t>
      </w:r>
      <w:r>
        <w:rPr>
          <w:rFonts w:ascii="Palatino Linotype" w:hAnsi="Palatino Linotype"/>
          <w:i/>
          <w:iCs/>
        </w:rPr>
        <w:t xml:space="preserve">Kant’s Transcendental Idealism: An Interpretation and </w:t>
      </w:r>
      <w:proofErr w:type="spellStart"/>
      <w:r>
        <w:rPr>
          <w:rFonts w:ascii="Palatino Linotype" w:hAnsi="Palatino Linotype"/>
          <w:i/>
          <w:iCs/>
        </w:rPr>
        <w:t>Defense</w:t>
      </w:r>
      <w:proofErr w:type="spellEnd"/>
      <w:r>
        <w:rPr>
          <w:rFonts w:ascii="Palatino Linotype" w:hAnsi="Palatino Linotype"/>
          <w:i/>
          <w:iCs/>
        </w:rPr>
        <w:t xml:space="preserve"> (Revised and Enlarged Edition</w:t>
      </w:r>
      <w:r>
        <w:rPr>
          <w:rFonts w:ascii="Palatino Linotype" w:hAnsi="Palatino Linotype"/>
        </w:rPr>
        <w:t xml:space="preserve"> (New Haven: Yale University Press), Part 1 (Chapters 1–3)</w:t>
      </w:r>
    </w:p>
    <w:p w14:paraId="0FEF1379" w14:textId="77777777" w:rsidR="00BA2D05" w:rsidRDefault="0016058C">
      <w:pPr>
        <w:ind w:left="426"/>
        <w:rPr>
          <w:rFonts w:ascii="Palatino Linotype" w:hAnsi="Palatino Linotype"/>
          <w:sz w:val="20"/>
          <w:szCs w:val="20"/>
        </w:rPr>
      </w:pPr>
      <w:r>
        <w:rPr>
          <w:rFonts w:ascii="Palatino Linotype" w:hAnsi="Palatino Linotype"/>
          <w:sz w:val="20"/>
          <w:szCs w:val="20"/>
        </w:rPr>
        <w:t>I’m afraid there is not (yet) an electronic version of this book in the Library, but in the lecture I will be arguing for a ‘one-world’ view very much like Allison’s, so you’ll get a sense of that interpretation from what I say (although I will no doubt depart in some ways, deliberately or otherwise, from what he says).</w:t>
      </w:r>
    </w:p>
    <w:p w14:paraId="61CAD2C2" w14:textId="77777777" w:rsidR="00BA2D05" w:rsidRDefault="0016058C">
      <w:pPr>
        <w:ind w:left="284" w:hanging="284"/>
        <w:rPr>
          <w:rFonts w:ascii="Palatino Linotype" w:hAnsi="Palatino Linotype"/>
          <w:b/>
          <w:bCs/>
        </w:rPr>
      </w:pPr>
      <w:r>
        <w:rPr>
          <w:rFonts w:ascii="Palatino Linotype" w:hAnsi="Palatino Linotype"/>
          <w:b/>
          <w:bCs/>
        </w:rPr>
        <w:lastRenderedPageBreak/>
        <w:t>P. F. Strawson</w:t>
      </w:r>
      <w:r>
        <w:rPr>
          <w:rFonts w:ascii="Palatino Linotype" w:hAnsi="Palatino Linotype"/>
        </w:rPr>
        <w:t xml:space="preserve"> [1966], </w:t>
      </w:r>
      <w:hyperlink r:id="rId35" w:history="1">
        <w:r>
          <w:rPr>
            <w:rStyle w:val="Hyperlink"/>
            <w:rFonts w:ascii="Palatino Linotype" w:hAnsi="Palatino Linotype"/>
            <w:i/>
            <w:iCs/>
          </w:rPr>
          <w:t>The Bounds of Sense: An Essay on Kant’s Critique of Pure Reason</w:t>
        </w:r>
      </w:hyperlink>
      <w:r>
        <w:rPr>
          <w:rFonts w:ascii="Palatino Linotype" w:hAnsi="Palatino Linotype"/>
        </w:rPr>
        <w:t xml:space="preserve"> (London: Routledge, 1975), Part 1, §4</w:t>
      </w:r>
    </w:p>
    <w:p w14:paraId="3D045975" w14:textId="77777777" w:rsidR="00BA2D05" w:rsidRDefault="0016058C">
      <w:pPr>
        <w:ind w:left="284" w:hanging="284"/>
        <w:rPr>
          <w:rFonts w:ascii="Palatino Linotype" w:hAnsi="Palatino Linotype"/>
        </w:rPr>
      </w:pPr>
      <w:r>
        <w:rPr>
          <w:rFonts w:ascii="Palatino Linotype" w:hAnsi="Palatino Linotype"/>
          <w:b/>
          <w:bCs/>
        </w:rPr>
        <w:t>Sebastian Gardner</w:t>
      </w:r>
      <w:r>
        <w:rPr>
          <w:rFonts w:ascii="Palatino Linotype" w:hAnsi="Palatino Linotype"/>
        </w:rPr>
        <w:t xml:space="preserve"> (1999), </w:t>
      </w:r>
      <w:hyperlink r:id="rId36" w:history="1">
        <w:r>
          <w:rPr>
            <w:rStyle w:val="Hyperlink"/>
            <w:rFonts w:ascii="Palatino Linotype" w:hAnsi="Palatino Linotype"/>
            <w:i/>
            <w:iCs/>
          </w:rPr>
          <w:t>Routledge Philosophy Guidebook to Kant and the Critique of Pure Reason</w:t>
        </w:r>
      </w:hyperlink>
      <w:r>
        <w:rPr>
          <w:rFonts w:ascii="Palatino Linotype" w:hAnsi="Palatino Linotype"/>
        </w:rPr>
        <w:t xml:space="preserve"> (London: Routledge), Chapter 5</w:t>
      </w:r>
    </w:p>
    <w:p w14:paraId="6AE8B671" w14:textId="77777777" w:rsidR="00BA2D05" w:rsidRDefault="0016058C">
      <w:pPr>
        <w:ind w:left="284" w:hanging="284"/>
        <w:rPr>
          <w:rFonts w:ascii="Palatino Linotype" w:hAnsi="Palatino Linotype"/>
        </w:rPr>
      </w:pPr>
      <w:r>
        <w:rPr>
          <w:rFonts w:ascii="Palatino Linotype" w:hAnsi="Palatino Linotype"/>
          <w:b/>
          <w:bCs/>
        </w:rPr>
        <w:t xml:space="preserve">James Van Cleve </w:t>
      </w:r>
      <w:r>
        <w:rPr>
          <w:rFonts w:ascii="Palatino Linotype" w:hAnsi="Palatino Linotype"/>
        </w:rPr>
        <w:t xml:space="preserve">(1999), </w:t>
      </w:r>
      <w:hyperlink r:id="rId37" w:history="1">
        <w:r>
          <w:rPr>
            <w:rStyle w:val="Hyperlink"/>
            <w:rFonts w:ascii="Palatino Linotype" w:hAnsi="Palatino Linotype"/>
            <w:i/>
            <w:iCs/>
          </w:rPr>
          <w:t>Problems from Kant</w:t>
        </w:r>
      </w:hyperlink>
      <w:r>
        <w:rPr>
          <w:rFonts w:ascii="Palatino Linotype" w:hAnsi="Palatino Linotype"/>
        </w:rPr>
        <w:t xml:space="preserve"> (Oxford: Oxford University Press), Chapter 10 (and perhaps Chapter 13)</w:t>
      </w:r>
    </w:p>
    <w:p w14:paraId="7CABFE30" w14:textId="77777777" w:rsidR="00BA2D05" w:rsidRDefault="00BA2D05">
      <w:pPr>
        <w:rPr>
          <w:rFonts w:ascii="Palatino Linotype" w:hAnsi="Palatino Linotype"/>
        </w:rPr>
      </w:pPr>
    </w:p>
    <w:p w14:paraId="6D43826D" w14:textId="77777777" w:rsidR="00BA2D05" w:rsidRDefault="0016058C">
      <w:pPr>
        <w:pStyle w:val="Heading2"/>
        <w:rPr>
          <w:rFonts w:ascii="Palatino Linotype" w:hAnsi="Palatino Linotype"/>
          <w:color w:val="C00000"/>
        </w:rPr>
      </w:pPr>
      <w:r>
        <w:rPr>
          <w:rFonts w:ascii="Palatino Linotype" w:hAnsi="Palatino Linotype"/>
          <w:color w:val="C00000"/>
        </w:rPr>
        <w:t xml:space="preserve">Week 6: </w:t>
      </w:r>
    </w:p>
    <w:p w14:paraId="51EF8DB4" w14:textId="77777777" w:rsidR="00BA2D05" w:rsidRDefault="0016058C">
      <w:pPr>
        <w:pStyle w:val="Heading2"/>
        <w:rPr>
          <w:rFonts w:ascii="Palatino Linotype" w:hAnsi="Palatino Linotype"/>
        </w:rPr>
      </w:pPr>
      <w:r>
        <w:rPr>
          <w:rFonts w:ascii="Palatino Linotype" w:hAnsi="Palatino Linotype"/>
          <w:color w:val="C00000"/>
        </w:rPr>
        <w:t>The Antinomies, the Postulates, and Free Will</w:t>
      </w:r>
    </w:p>
    <w:p w14:paraId="6E1C00D7" w14:textId="77777777" w:rsidR="00BA2D05" w:rsidRDefault="0016058C">
      <w:pPr>
        <w:rPr>
          <w:rFonts w:ascii="Palatino Linotype" w:hAnsi="Palatino Linotype"/>
          <w:sz w:val="20"/>
          <w:szCs w:val="20"/>
        </w:rPr>
      </w:pPr>
      <w:r>
        <w:rPr>
          <w:rFonts w:ascii="Palatino Linotype" w:hAnsi="Palatino Linotype"/>
          <w:sz w:val="20"/>
          <w:szCs w:val="20"/>
        </w:rPr>
        <w:t>The limits of reason, and the room for faith; the postulates and ‘holding true’; the theory of free will, inc. laws of reason and laws of nature.</w:t>
      </w:r>
    </w:p>
    <w:p w14:paraId="435918C3" w14:textId="77777777" w:rsidR="00BA2D05" w:rsidRDefault="00BA2D05">
      <w:pPr>
        <w:rPr>
          <w:rFonts w:ascii="Palatino Linotype" w:hAnsi="Palatino Linotype"/>
          <w:sz w:val="20"/>
          <w:szCs w:val="20"/>
        </w:rPr>
      </w:pPr>
    </w:p>
    <w:p w14:paraId="4C17D6F7" w14:textId="77777777" w:rsidR="00BA2D05" w:rsidRDefault="0016058C">
      <w:pPr>
        <w:ind w:left="284" w:hanging="284"/>
        <w:rPr>
          <w:rFonts w:ascii="Palatino Linotype" w:hAnsi="Palatino Linotype"/>
        </w:rPr>
      </w:pPr>
      <w:r>
        <w:rPr>
          <w:rFonts w:ascii="Palatino Linotype" w:hAnsi="Palatino Linotype"/>
        </w:rPr>
        <w:t xml:space="preserve">For an example of an ‘antinomy’, where reasons </w:t>
      </w:r>
      <w:proofErr w:type="gramStart"/>
      <w:r>
        <w:rPr>
          <w:rFonts w:ascii="Palatino Linotype" w:hAnsi="Palatino Linotype"/>
        </w:rPr>
        <w:t>seems</w:t>
      </w:r>
      <w:proofErr w:type="gramEnd"/>
      <w:r>
        <w:rPr>
          <w:rFonts w:ascii="Palatino Linotype" w:hAnsi="Palatino Linotype"/>
        </w:rPr>
        <w:t xml:space="preserve"> to drive us to contradictions:</w:t>
      </w:r>
    </w:p>
    <w:p w14:paraId="499EB1AC" w14:textId="77777777" w:rsidR="00BA2D05" w:rsidRDefault="0016058C">
      <w:pPr>
        <w:ind w:left="284" w:hanging="284"/>
        <w:rPr>
          <w:rFonts w:ascii="Palatino Linotype" w:hAnsi="Palatino Linotype"/>
        </w:rPr>
      </w:pPr>
      <w:r>
        <w:rPr>
          <w:rFonts w:ascii="Palatino Linotype" w:hAnsi="Palatino Linotype"/>
          <w:b/>
          <w:bCs/>
          <w:i/>
          <w:iCs/>
        </w:rPr>
        <w:t>*Critique of Pure Reason</w:t>
      </w:r>
      <w:r>
        <w:rPr>
          <w:rFonts w:ascii="Palatino Linotype" w:hAnsi="Palatino Linotype"/>
        </w:rPr>
        <w:t>: ‘The Antinomy of Pure Reason: Third Conflict of the Transcendental Ideas’ (A444/B472 – A451/B479)</w:t>
      </w:r>
    </w:p>
    <w:p w14:paraId="6812FB8F" w14:textId="77777777" w:rsidR="00BA2D05" w:rsidRDefault="0016058C">
      <w:pPr>
        <w:rPr>
          <w:rFonts w:ascii="Palatino Linotype" w:hAnsi="Palatino Linotype"/>
        </w:rPr>
      </w:pPr>
      <w:r>
        <w:rPr>
          <w:rFonts w:ascii="Palatino Linotype" w:hAnsi="Palatino Linotype"/>
        </w:rPr>
        <w:t>On the ‘</w:t>
      </w:r>
      <w:proofErr w:type="gramStart"/>
      <w:r>
        <w:rPr>
          <w:rFonts w:ascii="Palatino Linotype" w:hAnsi="Palatino Linotype"/>
        </w:rPr>
        <w:t>postulates’</w:t>
      </w:r>
      <w:proofErr w:type="gramEnd"/>
      <w:r>
        <w:rPr>
          <w:rFonts w:ascii="Palatino Linotype" w:hAnsi="Palatino Linotype"/>
        </w:rPr>
        <w:t>:</w:t>
      </w:r>
    </w:p>
    <w:p w14:paraId="3B498241" w14:textId="77777777" w:rsidR="00BA2D05" w:rsidRDefault="0016058C">
      <w:pPr>
        <w:rPr>
          <w:rFonts w:ascii="Palatino Linotype" w:hAnsi="Palatino Linotype"/>
        </w:rPr>
      </w:pPr>
      <w:r>
        <w:rPr>
          <w:rFonts w:ascii="Palatino Linotype" w:hAnsi="Palatino Linotype"/>
          <w:b/>
          <w:bCs/>
          <w:i/>
          <w:iCs/>
        </w:rPr>
        <w:t>*Critique of Practical Reason</w:t>
      </w:r>
      <w:r>
        <w:rPr>
          <w:rFonts w:ascii="Palatino Linotype" w:hAnsi="Palatino Linotype"/>
        </w:rPr>
        <w:t>: Book II, Chapter 1, §§VI–IX (5:132–48)</w:t>
      </w:r>
    </w:p>
    <w:p w14:paraId="0E16C145" w14:textId="77777777" w:rsidR="00BA2D05" w:rsidRDefault="0016058C">
      <w:pPr>
        <w:rPr>
          <w:rFonts w:ascii="Palatino Linotype" w:hAnsi="Palatino Linotype"/>
        </w:rPr>
      </w:pPr>
      <w:r>
        <w:rPr>
          <w:rFonts w:ascii="Palatino Linotype" w:hAnsi="Palatino Linotype"/>
        </w:rPr>
        <w:t>On commitment to free will being required by morality:</w:t>
      </w:r>
    </w:p>
    <w:p w14:paraId="1A013CC0" w14:textId="77777777" w:rsidR="00BA2D05" w:rsidRDefault="0016058C">
      <w:pPr>
        <w:rPr>
          <w:rFonts w:ascii="Palatino Linotype" w:hAnsi="Palatino Linotype"/>
          <w:b/>
          <w:bCs/>
          <w:i/>
          <w:iCs/>
        </w:rPr>
      </w:pPr>
      <w:r>
        <w:rPr>
          <w:rFonts w:ascii="Palatino Linotype" w:hAnsi="Palatino Linotype"/>
          <w:b/>
          <w:bCs/>
          <w:i/>
          <w:iCs/>
        </w:rPr>
        <w:t>*Critique of Practical Reason</w:t>
      </w:r>
      <w:r>
        <w:rPr>
          <w:rFonts w:ascii="Palatino Linotype" w:hAnsi="Palatino Linotype"/>
        </w:rPr>
        <w:t xml:space="preserve">: Bk.1 Chapter.1., §6, Problem II, (5:29–30) </w:t>
      </w:r>
    </w:p>
    <w:p w14:paraId="3C844C92" w14:textId="77777777" w:rsidR="00BA2D05" w:rsidRDefault="0016058C">
      <w:pPr>
        <w:rPr>
          <w:rFonts w:ascii="Palatino Linotype" w:hAnsi="Palatino Linotype"/>
        </w:rPr>
      </w:pPr>
      <w:r>
        <w:rPr>
          <w:rFonts w:ascii="Palatino Linotype" w:hAnsi="Palatino Linotype"/>
          <w:b/>
          <w:bCs/>
          <w:i/>
          <w:iCs/>
        </w:rPr>
        <w:t>Groundwork</w:t>
      </w:r>
      <w:r>
        <w:rPr>
          <w:rFonts w:ascii="Palatino Linotype" w:hAnsi="Palatino Linotype"/>
        </w:rPr>
        <w:t>: Section III</w:t>
      </w:r>
    </w:p>
    <w:p w14:paraId="3A7A4712" w14:textId="77777777" w:rsidR="00BA2D05" w:rsidRDefault="0016058C">
      <w:pPr>
        <w:rPr>
          <w:rFonts w:ascii="Palatino Linotype" w:hAnsi="Palatino Linotype"/>
        </w:rPr>
      </w:pPr>
      <w:r>
        <w:rPr>
          <w:rFonts w:ascii="Palatino Linotype" w:hAnsi="Palatino Linotype"/>
        </w:rPr>
        <w:t>On ‘holding true’:</w:t>
      </w:r>
    </w:p>
    <w:p w14:paraId="000542B4" w14:textId="77777777" w:rsidR="00BA2D05" w:rsidRDefault="0016058C">
      <w:pPr>
        <w:rPr>
          <w:rFonts w:ascii="Palatino Linotype" w:hAnsi="Palatino Linotype"/>
          <w:sz w:val="20"/>
          <w:szCs w:val="20"/>
        </w:rPr>
      </w:pPr>
      <w:r>
        <w:rPr>
          <w:rFonts w:ascii="Palatino Linotype" w:hAnsi="Palatino Linotype"/>
          <w:b/>
          <w:bCs/>
          <w:i/>
          <w:iCs/>
        </w:rPr>
        <w:t>Orientation</w:t>
      </w:r>
    </w:p>
    <w:p w14:paraId="64DC999A" w14:textId="77777777" w:rsidR="00BA2D05" w:rsidRDefault="00BA2D05">
      <w:pPr>
        <w:rPr>
          <w:rFonts w:ascii="Palatino Linotype" w:hAnsi="Palatino Linotype"/>
          <w:sz w:val="20"/>
          <w:szCs w:val="20"/>
        </w:rPr>
      </w:pPr>
    </w:p>
    <w:p w14:paraId="7DFD9B35"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Christine Korsgaard</w:t>
      </w:r>
      <w:r>
        <w:rPr>
          <w:rFonts w:ascii="Palatino Linotype" w:hAnsi="Palatino Linotype"/>
          <w:sz w:val="20"/>
          <w:szCs w:val="20"/>
        </w:rPr>
        <w:t xml:space="preserve"> [1989], </w:t>
      </w:r>
      <w:hyperlink r:id="rId38" w:anchor=":~:text=Morality%20is%20the%20natural%20condition,sacrifices%20its%20freedom%20for%20nothing.&amp;text=Without%20an%20account%20of%20moral,our%20explanation%20of%20moral%20obligation." w:history="1">
        <w:r>
          <w:rPr>
            <w:rStyle w:val="Hyperlink"/>
            <w:rFonts w:ascii="Palatino Linotype" w:hAnsi="Palatino Linotype"/>
            <w:sz w:val="20"/>
            <w:szCs w:val="20"/>
          </w:rPr>
          <w:t>‘Morality as Freedom’</w:t>
        </w:r>
      </w:hyperlink>
      <w:r>
        <w:rPr>
          <w:rFonts w:ascii="Palatino Linotype" w:hAnsi="Palatino Linotype"/>
          <w:sz w:val="20"/>
          <w:szCs w:val="20"/>
        </w:rPr>
        <w:t xml:space="preserve"> in Creating the Kingdom of Ends (Cambridge: Cambridge University Press, 1996) (non-book version available online via link in title)</w:t>
      </w:r>
    </w:p>
    <w:p w14:paraId="05384E66"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Onora O’Neill</w:t>
      </w:r>
      <w:r>
        <w:rPr>
          <w:rFonts w:ascii="Palatino Linotype" w:hAnsi="Palatino Linotype"/>
          <w:sz w:val="20"/>
          <w:szCs w:val="20"/>
        </w:rPr>
        <w:t xml:space="preserve"> (1989), ‘Reason and Autonomy in </w:t>
      </w:r>
      <w:proofErr w:type="spellStart"/>
      <w:r>
        <w:rPr>
          <w:rFonts w:ascii="Palatino Linotype" w:hAnsi="Palatino Linotype"/>
          <w:i/>
          <w:iCs/>
          <w:sz w:val="20"/>
          <w:szCs w:val="20"/>
        </w:rPr>
        <w:t>Grundlegung</w:t>
      </w:r>
      <w:proofErr w:type="spellEnd"/>
      <w:r>
        <w:rPr>
          <w:rFonts w:ascii="Palatino Linotype" w:hAnsi="Palatino Linotype"/>
          <w:sz w:val="20"/>
          <w:szCs w:val="20"/>
        </w:rPr>
        <w:t xml:space="preserve"> III’ in </w:t>
      </w:r>
      <w:r>
        <w:rPr>
          <w:rFonts w:ascii="Palatino Linotype" w:hAnsi="Palatino Linotype"/>
          <w:i/>
          <w:iCs/>
          <w:sz w:val="20"/>
          <w:szCs w:val="20"/>
        </w:rPr>
        <w:t>Constructions of Reason: Explorations of Kant’s Practical Philosophy</w:t>
      </w:r>
      <w:r>
        <w:rPr>
          <w:rFonts w:ascii="Palatino Linotype" w:hAnsi="Palatino Linotype"/>
          <w:sz w:val="20"/>
          <w:szCs w:val="20"/>
        </w:rPr>
        <w:t xml:space="preserve"> (Cambridge: Cambridge University Press)</w:t>
      </w:r>
    </w:p>
    <w:p w14:paraId="5C244232"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Henry E. Allison</w:t>
      </w:r>
      <w:r>
        <w:rPr>
          <w:rFonts w:ascii="Palatino Linotype" w:hAnsi="Palatino Linotype"/>
          <w:sz w:val="20"/>
          <w:szCs w:val="20"/>
        </w:rPr>
        <w:t xml:space="preserve"> (2006), ‘Kant on Freedom of the Will’ in Paul Guyer (ed.), </w:t>
      </w:r>
      <w:hyperlink r:id="rId39" w:history="1">
        <w:r>
          <w:rPr>
            <w:rStyle w:val="Hyperlink"/>
            <w:rFonts w:ascii="Palatino Linotype" w:hAnsi="Palatino Linotype"/>
            <w:i/>
            <w:iCs/>
            <w:sz w:val="20"/>
            <w:szCs w:val="20"/>
          </w:rPr>
          <w:t>The Cambridge Companion to Kant and Modern Philosophy</w:t>
        </w:r>
      </w:hyperlink>
      <w:r>
        <w:rPr>
          <w:rFonts w:ascii="Palatino Linotype" w:hAnsi="Palatino Linotype"/>
          <w:sz w:val="20"/>
          <w:szCs w:val="20"/>
        </w:rPr>
        <w:t xml:space="preserve"> (Cambridge: Cambridge University Press)</w:t>
      </w:r>
    </w:p>
    <w:p w14:paraId="760C5945" w14:textId="77777777" w:rsidR="00BA2D05" w:rsidRDefault="00BA2D05">
      <w:pPr>
        <w:rPr>
          <w:rFonts w:ascii="Palatino Linotype" w:hAnsi="Palatino Linotype"/>
        </w:rPr>
      </w:pPr>
    </w:p>
    <w:p w14:paraId="52C9957D" w14:textId="77777777" w:rsidR="00BA2D05" w:rsidRDefault="0016058C">
      <w:pPr>
        <w:pStyle w:val="Heading2"/>
        <w:rPr>
          <w:rFonts w:ascii="Palatino Linotype" w:hAnsi="Palatino Linotype"/>
          <w:color w:val="C00000"/>
        </w:rPr>
      </w:pPr>
      <w:r>
        <w:rPr>
          <w:rFonts w:ascii="Palatino Linotype" w:hAnsi="Palatino Linotype"/>
          <w:color w:val="C00000"/>
        </w:rPr>
        <w:t xml:space="preserve">Week 7: </w:t>
      </w:r>
    </w:p>
    <w:p w14:paraId="1A78CC21" w14:textId="77777777" w:rsidR="00BA2D05" w:rsidRDefault="0016058C">
      <w:pPr>
        <w:pStyle w:val="Heading2"/>
        <w:rPr>
          <w:rFonts w:ascii="Palatino Linotype" w:hAnsi="Palatino Linotype"/>
          <w:color w:val="C00000"/>
        </w:rPr>
      </w:pPr>
      <w:r>
        <w:rPr>
          <w:rFonts w:ascii="Palatino Linotype" w:hAnsi="Palatino Linotype"/>
          <w:color w:val="C00000"/>
        </w:rPr>
        <w:t>The Project of Kant’s Moral Philosophy</w:t>
      </w:r>
    </w:p>
    <w:p w14:paraId="273BE129" w14:textId="77777777" w:rsidR="00BA2D05" w:rsidRDefault="0016058C">
      <w:pPr>
        <w:rPr>
          <w:rFonts w:ascii="Palatino Linotype" w:hAnsi="Palatino Linotype"/>
          <w:sz w:val="20"/>
          <w:szCs w:val="20"/>
        </w:rPr>
      </w:pPr>
      <w:r>
        <w:rPr>
          <w:rFonts w:ascii="Palatino Linotype" w:hAnsi="Palatino Linotype"/>
          <w:sz w:val="20"/>
          <w:szCs w:val="20"/>
        </w:rPr>
        <w:t xml:space="preserve">The Preface of the </w:t>
      </w:r>
      <w:r>
        <w:rPr>
          <w:rFonts w:ascii="Palatino Linotype" w:hAnsi="Palatino Linotype"/>
          <w:i/>
          <w:iCs/>
          <w:sz w:val="20"/>
          <w:szCs w:val="20"/>
        </w:rPr>
        <w:t>Groundwork</w:t>
      </w:r>
      <w:r>
        <w:rPr>
          <w:rFonts w:ascii="Palatino Linotype" w:hAnsi="Palatino Linotype"/>
          <w:sz w:val="20"/>
          <w:szCs w:val="20"/>
        </w:rPr>
        <w:t>: pure moral philosophy (and the impure sorts), and the generality of the moral law; practical vs theoretical reason, and the primacy of practical reason.</w:t>
      </w:r>
    </w:p>
    <w:p w14:paraId="3F39AD33" w14:textId="77777777" w:rsidR="00BA2D05" w:rsidRDefault="00BA2D05">
      <w:pPr>
        <w:rPr>
          <w:rFonts w:ascii="Palatino Linotype" w:hAnsi="Palatino Linotype"/>
          <w:sz w:val="20"/>
          <w:szCs w:val="20"/>
        </w:rPr>
      </w:pPr>
    </w:p>
    <w:p w14:paraId="22B6460F" w14:textId="77777777" w:rsidR="00BA2D05" w:rsidRDefault="0016058C">
      <w:pPr>
        <w:rPr>
          <w:rFonts w:ascii="Palatino Linotype" w:hAnsi="Palatino Linotype"/>
        </w:rPr>
      </w:pPr>
      <w:r>
        <w:rPr>
          <w:rFonts w:ascii="Palatino Linotype" w:hAnsi="Palatino Linotype"/>
          <w:b/>
          <w:bCs/>
        </w:rPr>
        <w:t>*</w:t>
      </w:r>
      <w:r>
        <w:rPr>
          <w:rFonts w:ascii="Palatino Linotype" w:hAnsi="Palatino Linotype"/>
          <w:b/>
          <w:bCs/>
          <w:i/>
          <w:iCs/>
        </w:rPr>
        <w:t>Groundwork</w:t>
      </w:r>
      <w:r>
        <w:rPr>
          <w:rFonts w:ascii="Palatino Linotype" w:hAnsi="Palatino Linotype"/>
        </w:rPr>
        <w:t>: Preface (4:387–92)</w:t>
      </w:r>
    </w:p>
    <w:p w14:paraId="45AA80B2" w14:textId="77777777" w:rsidR="00BA2D05" w:rsidRDefault="00BA2D05">
      <w:pPr>
        <w:rPr>
          <w:rFonts w:ascii="Palatino Linotype" w:hAnsi="Palatino Linotype"/>
          <w:sz w:val="20"/>
          <w:szCs w:val="20"/>
        </w:rPr>
      </w:pPr>
    </w:p>
    <w:p w14:paraId="3917FEF0" w14:textId="77777777" w:rsidR="00BA2D05" w:rsidRDefault="0016058C">
      <w:pPr>
        <w:rPr>
          <w:rFonts w:ascii="Palatino Linotype" w:hAnsi="Palatino Linotype"/>
        </w:rPr>
      </w:pPr>
      <w:r>
        <w:rPr>
          <w:rFonts w:ascii="Palatino Linotype" w:hAnsi="Palatino Linotype"/>
        </w:rPr>
        <w:t xml:space="preserve">We might also have some of the material from last week’s reading, and the idea of the relation between morality and freedom, to discuss too. </w:t>
      </w:r>
    </w:p>
    <w:p w14:paraId="689C0198" w14:textId="77777777" w:rsidR="00BA2D05" w:rsidRDefault="00BA2D05">
      <w:pPr>
        <w:rPr>
          <w:rFonts w:ascii="Palatino Linotype" w:hAnsi="Palatino Linotype"/>
          <w:sz w:val="20"/>
          <w:szCs w:val="20"/>
        </w:rPr>
      </w:pPr>
    </w:p>
    <w:p w14:paraId="43F61E34"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Robert B. Louden</w:t>
      </w:r>
      <w:r>
        <w:rPr>
          <w:rFonts w:ascii="Palatino Linotype" w:hAnsi="Palatino Linotype"/>
          <w:sz w:val="20"/>
          <w:szCs w:val="20"/>
        </w:rPr>
        <w:t xml:space="preserve"> (2000), </w:t>
      </w:r>
      <w:r>
        <w:rPr>
          <w:rFonts w:ascii="Palatino Linotype" w:hAnsi="Palatino Linotype"/>
          <w:i/>
          <w:iCs/>
          <w:sz w:val="20"/>
          <w:szCs w:val="20"/>
        </w:rPr>
        <w:t>Kant’s Impure Ethics: From Rational Beings to Human Beings</w:t>
      </w:r>
      <w:r>
        <w:rPr>
          <w:rFonts w:ascii="Palatino Linotype" w:hAnsi="Palatino Linotype"/>
          <w:sz w:val="20"/>
          <w:szCs w:val="20"/>
        </w:rPr>
        <w:t xml:space="preserve"> (Oxford: Oxford University Press), Part 1 (and subsequent parts for more detailed argument)</w:t>
      </w:r>
    </w:p>
    <w:p w14:paraId="53F17FA4" w14:textId="77777777" w:rsidR="00BA2D05" w:rsidRDefault="0016058C">
      <w:pPr>
        <w:ind w:left="426"/>
        <w:rPr>
          <w:rFonts w:ascii="Palatino Linotype" w:hAnsi="Palatino Linotype"/>
          <w:sz w:val="18"/>
          <w:szCs w:val="18"/>
        </w:rPr>
      </w:pPr>
      <w:r>
        <w:rPr>
          <w:rFonts w:ascii="Palatino Linotype" w:hAnsi="Palatino Linotype"/>
          <w:sz w:val="18"/>
          <w:szCs w:val="18"/>
        </w:rPr>
        <w:t xml:space="preserve">This book emphasises the fact that Kant did </w:t>
      </w:r>
      <w:r>
        <w:rPr>
          <w:rFonts w:ascii="Palatino Linotype" w:hAnsi="Palatino Linotype"/>
          <w:i/>
          <w:iCs/>
          <w:sz w:val="18"/>
          <w:szCs w:val="18"/>
        </w:rPr>
        <w:t>not</w:t>
      </w:r>
      <w:r>
        <w:rPr>
          <w:rFonts w:ascii="Palatino Linotype" w:hAnsi="Palatino Linotype"/>
          <w:sz w:val="18"/>
          <w:szCs w:val="18"/>
        </w:rPr>
        <w:t xml:space="preserve"> think that ‘pure moral philosophy’ or the Categorical Imperative is all there is ethics, and that the contingent features of human nature do </w:t>
      </w:r>
      <w:proofErr w:type="gramStart"/>
      <w:r>
        <w:rPr>
          <w:rFonts w:ascii="Palatino Linotype" w:hAnsi="Palatino Linotype"/>
          <w:sz w:val="18"/>
          <w:szCs w:val="18"/>
        </w:rPr>
        <w:t>enter into</w:t>
      </w:r>
      <w:proofErr w:type="gramEnd"/>
      <w:r>
        <w:rPr>
          <w:rFonts w:ascii="Palatino Linotype" w:hAnsi="Palatino Linotype"/>
          <w:sz w:val="18"/>
          <w:szCs w:val="18"/>
        </w:rPr>
        <w:t xml:space="preserve"> the story in an important way. More on this theme of Kant’s interest in the embodied, natural aspects of human nature is in </w:t>
      </w:r>
      <w:r>
        <w:rPr>
          <w:rFonts w:ascii="Palatino Linotype" w:hAnsi="Palatino Linotype"/>
          <w:b/>
          <w:bCs/>
          <w:sz w:val="18"/>
          <w:szCs w:val="18"/>
        </w:rPr>
        <w:t>Alix Cohen</w:t>
      </w:r>
      <w:r>
        <w:rPr>
          <w:rFonts w:ascii="Palatino Linotype" w:hAnsi="Palatino Linotype"/>
          <w:sz w:val="18"/>
          <w:szCs w:val="18"/>
        </w:rPr>
        <w:t xml:space="preserve">, </w:t>
      </w:r>
      <w:r>
        <w:rPr>
          <w:rFonts w:ascii="Palatino Linotype" w:hAnsi="Palatino Linotype"/>
          <w:i/>
          <w:iCs/>
          <w:sz w:val="18"/>
          <w:szCs w:val="18"/>
        </w:rPr>
        <w:t>Kant and the Human Sciences</w:t>
      </w:r>
      <w:r>
        <w:rPr>
          <w:rFonts w:ascii="Palatino Linotype" w:hAnsi="Palatino Linotype"/>
          <w:sz w:val="18"/>
          <w:szCs w:val="18"/>
        </w:rPr>
        <w:t xml:space="preserve"> (Basingstoke: Palgrave Macmillan, 2009).</w:t>
      </w:r>
    </w:p>
    <w:p w14:paraId="72BA8CBE" w14:textId="0C781A38" w:rsidR="00BA2D05" w:rsidRDefault="0016058C">
      <w:pPr>
        <w:ind w:left="284" w:hanging="284"/>
        <w:rPr>
          <w:rFonts w:ascii="Palatino Linotype" w:hAnsi="Palatino Linotype"/>
          <w:sz w:val="20"/>
          <w:szCs w:val="20"/>
        </w:rPr>
      </w:pPr>
      <w:r>
        <w:rPr>
          <w:rFonts w:ascii="Palatino Linotype" w:hAnsi="Palatino Linotype"/>
          <w:b/>
          <w:bCs/>
          <w:sz w:val="20"/>
          <w:szCs w:val="20"/>
        </w:rPr>
        <w:t>Allen W. Wood</w:t>
      </w:r>
      <w:r>
        <w:rPr>
          <w:rFonts w:ascii="Palatino Linotype" w:hAnsi="Palatino Linotype"/>
          <w:sz w:val="20"/>
          <w:szCs w:val="20"/>
        </w:rPr>
        <w:t xml:space="preserve"> (2002), ‘What is Kantian Ethics?’ in Allen W. Wood (trans. and ed.) </w:t>
      </w:r>
      <w:hyperlink r:id="rId40" w:history="1">
        <w:r>
          <w:rPr>
            <w:rStyle w:val="Hyperlink"/>
            <w:rFonts w:ascii="Palatino Linotype" w:hAnsi="Palatino Linotype"/>
            <w:i/>
            <w:iCs/>
            <w:sz w:val="20"/>
            <w:szCs w:val="20"/>
          </w:rPr>
          <w:t>Groundwork for the Metaphysics of Morals</w:t>
        </w:r>
      </w:hyperlink>
      <w:r>
        <w:rPr>
          <w:rFonts w:ascii="Palatino Linotype" w:hAnsi="Palatino Linotype"/>
          <w:sz w:val="20"/>
          <w:szCs w:val="20"/>
        </w:rPr>
        <w:t xml:space="preserve"> (New Haven: Yale University Press)</w:t>
      </w:r>
    </w:p>
    <w:p w14:paraId="79B650E0" w14:textId="77777777" w:rsidR="00BA2D05" w:rsidRDefault="00BA2D05">
      <w:pPr>
        <w:rPr>
          <w:rFonts w:ascii="Palatino Linotype" w:hAnsi="Palatino Linotype"/>
        </w:rPr>
      </w:pPr>
    </w:p>
    <w:p w14:paraId="6249AB51" w14:textId="77777777" w:rsidR="00BA2D05" w:rsidRDefault="0016058C">
      <w:pPr>
        <w:pStyle w:val="Heading2"/>
        <w:rPr>
          <w:rFonts w:ascii="Palatino Linotype" w:hAnsi="Palatino Linotype"/>
          <w:color w:val="C00000"/>
        </w:rPr>
      </w:pPr>
      <w:r>
        <w:rPr>
          <w:rFonts w:ascii="Palatino Linotype" w:hAnsi="Palatino Linotype"/>
          <w:color w:val="C00000"/>
        </w:rPr>
        <w:t xml:space="preserve">Week 8: </w:t>
      </w:r>
    </w:p>
    <w:p w14:paraId="3F3E2BB3" w14:textId="77777777" w:rsidR="00BA2D05" w:rsidRDefault="0016058C">
      <w:pPr>
        <w:pStyle w:val="Heading2"/>
        <w:rPr>
          <w:rFonts w:ascii="Palatino Linotype" w:hAnsi="Palatino Linotype"/>
          <w:color w:val="C00000"/>
        </w:rPr>
      </w:pPr>
      <w:r>
        <w:rPr>
          <w:rFonts w:ascii="Palatino Linotype" w:hAnsi="Palatino Linotype"/>
          <w:color w:val="C00000"/>
        </w:rPr>
        <w:t>The Good Will, and Happiness</w:t>
      </w:r>
    </w:p>
    <w:p w14:paraId="4F1F53BC" w14:textId="77777777" w:rsidR="00BA2D05" w:rsidRDefault="0016058C">
      <w:pPr>
        <w:rPr>
          <w:rFonts w:ascii="Palatino Linotype" w:hAnsi="Palatino Linotype"/>
          <w:sz w:val="20"/>
          <w:szCs w:val="20"/>
        </w:rPr>
      </w:pPr>
      <w:r>
        <w:rPr>
          <w:rFonts w:ascii="Palatino Linotype" w:hAnsi="Palatino Linotype"/>
          <w:sz w:val="20"/>
          <w:szCs w:val="20"/>
        </w:rPr>
        <w:t>Conditioned and unconditioned goods; happiness and worthiness to be happy (and deserving to suffer); acting from or merely in accordance with duty; virtue; ‘estimable’ or praiseworthy actions.</w:t>
      </w:r>
    </w:p>
    <w:p w14:paraId="7FDC27BD" w14:textId="77777777" w:rsidR="00BA2D05" w:rsidRDefault="00BA2D05">
      <w:pPr>
        <w:rPr>
          <w:rFonts w:ascii="Palatino Linotype" w:hAnsi="Palatino Linotype"/>
          <w:sz w:val="20"/>
          <w:szCs w:val="20"/>
        </w:rPr>
      </w:pPr>
    </w:p>
    <w:p w14:paraId="3BED72B3" w14:textId="77777777" w:rsidR="00BA2D05" w:rsidRDefault="0016058C">
      <w:pPr>
        <w:rPr>
          <w:rFonts w:ascii="Palatino Linotype" w:hAnsi="Palatino Linotype"/>
        </w:rPr>
      </w:pPr>
      <w:r>
        <w:rPr>
          <w:rFonts w:ascii="Palatino Linotype" w:hAnsi="Palatino Linotype"/>
          <w:b/>
          <w:bCs/>
        </w:rPr>
        <w:t>*</w:t>
      </w:r>
      <w:r>
        <w:rPr>
          <w:rFonts w:ascii="Palatino Linotype" w:hAnsi="Palatino Linotype"/>
          <w:b/>
          <w:bCs/>
          <w:i/>
          <w:iCs/>
        </w:rPr>
        <w:t>Groundwork</w:t>
      </w:r>
      <w:r>
        <w:rPr>
          <w:rFonts w:ascii="Palatino Linotype" w:hAnsi="Palatino Linotype"/>
        </w:rPr>
        <w:t>: Section I</w:t>
      </w:r>
    </w:p>
    <w:p w14:paraId="1F560C61" w14:textId="77777777" w:rsidR="00BA2D05" w:rsidRDefault="00BA2D05">
      <w:pPr>
        <w:rPr>
          <w:rFonts w:ascii="Palatino Linotype" w:hAnsi="Palatino Linotype"/>
          <w:sz w:val="20"/>
          <w:szCs w:val="20"/>
        </w:rPr>
      </w:pPr>
    </w:p>
    <w:p w14:paraId="4325A66D"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Lara Denis</w:t>
      </w:r>
      <w:r>
        <w:rPr>
          <w:rFonts w:ascii="Palatino Linotype" w:hAnsi="Palatino Linotype"/>
          <w:sz w:val="20"/>
          <w:szCs w:val="20"/>
        </w:rPr>
        <w:t xml:space="preserve"> (2006), ‘Kant’s Conception of Virtue’ in Paul Guyer (ed.), </w:t>
      </w:r>
      <w:hyperlink r:id="rId41" w:history="1">
        <w:r>
          <w:rPr>
            <w:rStyle w:val="Hyperlink"/>
            <w:rFonts w:ascii="Palatino Linotype" w:hAnsi="Palatino Linotype"/>
            <w:i/>
            <w:iCs/>
            <w:sz w:val="20"/>
            <w:szCs w:val="20"/>
          </w:rPr>
          <w:t>The Cambridge Companion to Kant and Modern Philosophy</w:t>
        </w:r>
      </w:hyperlink>
      <w:r>
        <w:rPr>
          <w:rFonts w:ascii="Palatino Linotype" w:hAnsi="Palatino Linotype"/>
          <w:sz w:val="20"/>
          <w:szCs w:val="20"/>
        </w:rPr>
        <w:t xml:space="preserve"> (Cambridge: Cambridge University Press)</w:t>
      </w:r>
    </w:p>
    <w:p w14:paraId="166E7E7D" w14:textId="462D5737" w:rsidR="00BA2D05" w:rsidRDefault="0016058C">
      <w:pPr>
        <w:ind w:left="284" w:hanging="284"/>
        <w:rPr>
          <w:rFonts w:ascii="Palatino Linotype" w:hAnsi="Palatino Linotype"/>
          <w:b/>
          <w:bCs/>
          <w:sz w:val="20"/>
          <w:szCs w:val="20"/>
        </w:rPr>
      </w:pPr>
      <w:r>
        <w:rPr>
          <w:rFonts w:ascii="Palatino Linotype" w:hAnsi="Palatino Linotype"/>
          <w:b/>
          <w:bCs/>
          <w:sz w:val="20"/>
          <w:szCs w:val="20"/>
        </w:rPr>
        <w:t>Marcia Baron</w:t>
      </w:r>
      <w:r>
        <w:rPr>
          <w:rFonts w:ascii="Palatino Linotype" w:hAnsi="Palatino Linotype"/>
          <w:sz w:val="20"/>
          <w:szCs w:val="20"/>
        </w:rPr>
        <w:t xml:space="preserve"> (2002), ‘Acting from Duty’ in Allen W. Wood (trans. and ed.) </w:t>
      </w:r>
      <w:hyperlink r:id="rId42" w:history="1">
        <w:r>
          <w:rPr>
            <w:rStyle w:val="Hyperlink"/>
            <w:rFonts w:ascii="Palatino Linotype" w:hAnsi="Palatino Linotype"/>
            <w:i/>
            <w:iCs/>
            <w:sz w:val="20"/>
            <w:szCs w:val="20"/>
          </w:rPr>
          <w:t>Groundwork for the Metaphysics of Morals</w:t>
        </w:r>
      </w:hyperlink>
      <w:r>
        <w:rPr>
          <w:rFonts w:ascii="Palatino Linotype" w:hAnsi="Palatino Linotype"/>
          <w:sz w:val="20"/>
          <w:szCs w:val="20"/>
        </w:rPr>
        <w:t xml:space="preserve"> (New Haven: Yale University Press)</w:t>
      </w:r>
    </w:p>
    <w:p w14:paraId="27F7418D"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Allen W. Wood</w:t>
      </w:r>
      <w:r>
        <w:rPr>
          <w:rFonts w:ascii="Palatino Linotype" w:hAnsi="Palatino Linotype"/>
          <w:sz w:val="20"/>
          <w:szCs w:val="20"/>
        </w:rPr>
        <w:t xml:space="preserve"> (2014), ‘Moral Worth, Merit, and Acting From Duty’ in </w:t>
      </w:r>
      <w:hyperlink r:id="rId43" w:history="1">
        <w:r>
          <w:rPr>
            <w:rStyle w:val="Hyperlink"/>
            <w:rFonts w:ascii="Palatino Linotype" w:hAnsi="Palatino Linotype"/>
            <w:i/>
            <w:iCs/>
            <w:sz w:val="20"/>
            <w:szCs w:val="20"/>
          </w:rPr>
          <w:t>The Free Development of Each: Studies on Freedom, Right, and Ethics in Classical German Philosophy</w:t>
        </w:r>
      </w:hyperlink>
      <w:r>
        <w:rPr>
          <w:rFonts w:ascii="Palatino Linotype" w:hAnsi="Palatino Linotype"/>
          <w:sz w:val="20"/>
          <w:szCs w:val="20"/>
        </w:rPr>
        <w:t xml:space="preserve"> (Oxford: Oxford University Press)</w:t>
      </w:r>
    </w:p>
    <w:p w14:paraId="539A8448" w14:textId="77777777" w:rsidR="00BA2D05" w:rsidRDefault="00BA2D05">
      <w:pPr>
        <w:rPr>
          <w:rFonts w:ascii="Palatino Linotype" w:hAnsi="Palatino Linotype"/>
        </w:rPr>
      </w:pPr>
    </w:p>
    <w:p w14:paraId="69D191A0" w14:textId="77777777" w:rsidR="00BA2D05" w:rsidRDefault="0016058C">
      <w:pPr>
        <w:pStyle w:val="Heading2"/>
        <w:rPr>
          <w:rFonts w:ascii="Palatino Linotype" w:hAnsi="Palatino Linotype"/>
          <w:color w:val="C00000"/>
        </w:rPr>
      </w:pPr>
      <w:r>
        <w:rPr>
          <w:rFonts w:ascii="Palatino Linotype" w:hAnsi="Palatino Linotype"/>
          <w:color w:val="C00000"/>
        </w:rPr>
        <w:t>Week 9:</w:t>
      </w:r>
    </w:p>
    <w:p w14:paraId="27CC8E4E" w14:textId="77777777" w:rsidR="00BA2D05" w:rsidRDefault="0016058C">
      <w:pPr>
        <w:pStyle w:val="Heading2"/>
        <w:rPr>
          <w:rFonts w:ascii="Palatino Linotype" w:hAnsi="Palatino Linotype"/>
          <w:color w:val="C00000"/>
        </w:rPr>
      </w:pPr>
      <w:r>
        <w:rPr>
          <w:rFonts w:ascii="Palatino Linotype" w:hAnsi="Palatino Linotype"/>
          <w:color w:val="C00000"/>
        </w:rPr>
        <w:t>The Derivation of the Categorical Imperative</w:t>
      </w:r>
    </w:p>
    <w:p w14:paraId="6D7BFE61" w14:textId="77777777" w:rsidR="00BA2D05" w:rsidRDefault="0016058C">
      <w:pPr>
        <w:rPr>
          <w:rFonts w:ascii="Palatino Linotype" w:hAnsi="Palatino Linotype"/>
          <w:sz w:val="20"/>
          <w:szCs w:val="20"/>
        </w:rPr>
      </w:pPr>
      <w:r>
        <w:rPr>
          <w:rFonts w:ascii="Palatino Linotype" w:hAnsi="Palatino Linotype"/>
          <w:sz w:val="20"/>
          <w:szCs w:val="20"/>
        </w:rPr>
        <w:t>The structure of the will, and action theory; the move from universal moral requirements to the formulae of universal law; formalism; contradictions in conceiving and in willing.</w:t>
      </w:r>
    </w:p>
    <w:p w14:paraId="48DACA58" w14:textId="77777777" w:rsidR="00BA2D05" w:rsidRDefault="00BA2D05">
      <w:pPr>
        <w:rPr>
          <w:rFonts w:ascii="Palatino Linotype" w:hAnsi="Palatino Linotype"/>
          <w:sz w:val="20"/>
          <w:szCs w:val="20"/>
        </w:rPr>
      </w:pPr>
    </w:p>
    <w:p w14:paraId="0C917C98" w14:textId="77777777" w:rsidR="00BA2D05" w:rsidRDefault="0016058C">
      <w:pPr>
        <w:rPr>
          <w:rFonts w:ascii="Palatino Linotype" w:hAnsi="Palatino Linotype"/>
        </w:rPr>
      </w:pPr>
      <w:r>
        <w:rPr>
          <w:rFonts w:ascii="Palatino Linotype" w:hAnsi="Palatino Linotype"/>
          <w:b/>
          <w:bCs/>
        </w:rPr>
        <w:t>*</w:t>
      </w:r>
      <w:r>
        <w:rPr>
          <w:rFonts w:ascii="Palatino Linotype" w:hAnsi="Palatino Linotype"/>
          <w:b/>
          <w:bCs/>
          <w:i/>
          <w:iCs/>
        </w:rPr>
        <w:t>Groundwork</w:t>
      </w:r>
      <w:r>
        <w:rPr>
          <w:rFonts w:ascii="Palatino Linotype" w:hAnsi="Palatino Linotype"/>
        </w:rPr>
        <w:t>: Section II</w:t>
      </w:r>
    </w:p>
    <w:p w14:paraId="446598E7" w14:textId="77777777" w:rsidR="00BA2D05" w:rsidRDefault="0016058C">
      <w:pPr>
        <w:rPr>
          <w:rFonts w:ascii="Palatino Linotype" w:hAnsi="Palatino Linotype"/>
          <w:b/>
          <w:bCs/>
          <w:i/>
          <w:iCs/>
        </w:rPr>
      </w:pPr>
      <w:r>
        <w:rPr>
          <w:rFonts w:ascii="Palatino Linotype" w:hAnsi="Palatino Linotype"/>
        </w:rPr>
        <w:t>*</w:t>
      </w:r>
      <w:r>
        <w:rPr>
          <w:rFonts w:ascii="Palatino Linotype" w:hAnsi="Palatino Linotype"/>
          <w:b/>
          <w:bCs/>
          <w:i/>
          <w:iCs/>
        </w:rPr>
        <w:t xml:space="preserve">Supposed Right to </w:t>
      </w:r>
      <w:r>
        <w:rPr>
          <w:rFonts w:ascii="Palatino Linotype" w:hAnsi="Palatino Linotype"/>
          <w:b/>
          <w:bCs/>
          <w:i/>
          <w:iCs/>
        </w:rPr>
        <w:t>Lie</w:t>
      </w:r>
    </w:p>
    <w:p w14:paraId="08A7ACEA" w14:textId="77777777" w:rsidR="00BA2D05" w:rsidRDefault="00BA2D05">
      <w:pPr>
        <w:rPr>
          <w:rFonts w:ascii="Palatino Linotype" w:hAnsi="Palatino Linotype"/>
          <w:sz w:val="20"/>
          <w:szCs w:val="20"/>
        </w:rPr>
      </w:pPr>
    </w:p>
    <w:p w14:paraId="23A13C11" w14:textId="77777777" w:rsidR="00BA2D05" w:rsidRDefault="0016058C">
      <w:pPr>
        <w:ind w:left="284" w:hanging="284"/>
        <w:rPr>
          <w:rFonts w:ascii="Palatino Linotype" w:hAnsi="Palatino Linotype"/>
          <w:sz w:val="20"/>
          <w:szCs w:val="20"/>
        </w:rPr>
      </w:pPr>
      <w:r>
        <w:rPr>
          <w:rFonts w:ascii="Palatino Linotype" w:hAnsi="Palatino Linotype"/>
          <w:b/>
          <w:bCs/>
          <w:sz w:val="20"/>
          <w:szCs w:val="20"/>
        </w:rPr>
        <w:t>Christine Korsgaard</w:t>
      </w:r>
      <w:r>
        <w:rPr>
          <w:rFonts w:ascii="Palatino Linotype" w:hAnsi="Palatino Linotype"/>
          <w:sz w:val="20"/>
          <w:szCs w:val="20"/>
        </w:rPr>
        <w:t xml:space="preserve"> [1986], ‘The Right to Lie: Kant on Dealing with Evil’ in </w:t>
      </w:r>
      <w:r>
        <w:rPr>
          <w:rFonts w:ascii="Palatino Linotype" w:hAnsi="Palatino Linotype"/>
          <w:i/>
          <w:iCs/>
          <w:sz w:val="20"/>
          <w:szCs w:val="20"/>
        </w:rPr>
        <w:t>Creating the Kingdom of Ends</w:t>
      </w:r>
      <w:r>
        <w:rPr>
          <w:rFonts w:ascii="Palatino Linotype" w:hAnsi="Palatino Linotype"/>
          <w:sz w:val="20"/>
          <w:szCs w:val="20"/>
        </w:rPr>
        <w:t xml:space="preserve"> (Cambridge: Cambridge University Press. 1996), originally in </w:t>
      </w:r>
      <w:hyperlink r:id="rId44" w:history="1">
        <w:r>
          <w:rPr>
            <w:rStyle w:val="Hyperlink"/>
            <w:rFonts w:ascii="Palatino Linotype" w:hAnsi="Palatino Linotype"/>
            <w:i/>
            <w:iCs/>
            <w:sz w:val="20"/>
            <w:szCs w:val="20"/>
          </w:rPr>
          <w:t>Philosophy and Public Affairs</w:t>
        </w:r>
        <w:r>
          <w:rPr>
            <w:rStyle w:val="Hyperlink"/>
            <w:rFonts w:ascii="Palatino Linotype" w:hAnsi="Palatino Linotype"/>
            <w:sz w:val="20"/>
            <w:szCs w:val="20"/>
          </w:rPr>
          <w:t xml:space="preserve"> 15:4, pp. 325–49</w:t>
        </w:r>
      </w:hyperlink>
      <w:r>
        <w:rPr>
          <w:rFonts w:ascii="Palatino Linotype" w:hAnsi="Palatino Linotype"/>
          <w:sz w:val="20"/>
          <w:szCs w:val="20"/>
        </w:rPr>
        <w:t xml:space="preserve"> </w:t>
      </w:r>
    </w:p>
    <w:p w14:paraId="7B8A0E58" w14:textId="77777777" w:rsidR="00BA2D05" w:rsidRDefault="0016058C">
      <w:pPr>
        <w:ind w:left="284" w:hanging="284"/>
        <w:rPr>
          <w:rFonts w:ascii="Palatino Linotype" w:hAnsi="Palatino Linotype"/>
          <w:sz w:val="20"/>
          <w:szCs w:val="20"/>
        </w:rPr>
      </w:pPr>
      <w:r>
        <w:rPr>
          <w:rFonts w:ascii="Palatino Linotype" w:hAnsi="Palatino Linotype"/>
          <w:b/>
          <w:sz w:val="20"/>
          <w:szCs w:val="20"/>
        </w:rPr>
        <w:t>Allen W. Wood</w:t>
      </w:r>
      <w:r>
        <w:rPr>
          <w:rFonts w:ascii="Palatino Linotype" w:hAnsi="Palatino Linotype"/>
          <w:sz w:val="20"/>
          <w:szCs w:val="20"/>
        </w:rPr>
        <w:t xml:space="preserve"> (2011), ‘Kant and the Right to Lie’, </w:t>
      </w:r>
      <w:r>
        <w:rPr>
          <w:rFonts w:ascii="Palatino Linotype" w:hAnsi="Palatino Linotype"/>
          <w:i/>
          <w:color w:val="000000" w:themeColor="text1"/>
          <w:sz w:val="20"/>
          <w:szCs w:val="20"/>
        </w:rPr>
        <w:t xml:space="preserve">Eidos: </w:t>
      </w:r>
      <w:hyperlink r:id="rId45" w:history="1">
        <w:proofErr w:type="spellStart"/>
        <w:r>
          <w:rPr>
            <w:rStyle w:val="Hyperlink"/>
            <w:rFonts w:ascii="Palatino Linotype" w:hAnsi="Palatino Linotype"/>
            <w:i/>
            <w:color w:val="000000" w:themeColor="text1"/>
            <w:sz w:val="20"/>
            <w:szCs w:val="20"/>
            <w:u w:val="none"/>
          </w:rPr>
          <w:t>Revista</w:t>
        </w:r>
        <w:proofErr w:type="spellEnd"/>
        <w:r>
          <w:rPr>
            <w:rStyle w:val="Hyperlink"/>
            <w:rFonts w:ascii="Palatino Linotype" w:hAnsi="Palatino Linotype"/>
            <w:i/>
            <w:color w:val="000000" w:themeColor="text1"/>
            <w:sz w:val="20"/>
            <w:szCs w:val="20"/>
            <w:u w:val="none"/>
          </w:rPr>
          <w:t xml:space="preserve"> de </w:t>
        </w:r>
        <w:proofErr w:type="spellStart"/>
        <w:r>
          <w:rPr>
            <w:rStyle w:val="Hyperlink"/>
            <w:rFonts w:ascii="Palatino Linotype" w:hAnsi="Palatino Linotype"/>
            <w:i/>
            <w:color w:val="000000" w:themeColor="text1"/>
            <w:sz w:val="20"/>
            <w:szCs w:val="20"/>
            <w:u w:val="none"/>
          </w:rPr>
          <w:t>Filosofía</w:t>
        </w:r>
        <w:proofErr w:type="spellEnd"/>
        <w:r>
          <w:rPr>
            <w:rStyle w:val="Hyperlink"/>
            <w:rFonts w:ascii="Palatino Linotype" w:hAnsi="Palatino Linotype"/>
            <w:i/>
            <w:color w:val="000000" w:themeColor="text1"/>
            <w:sz w:val="20"/>
            <w:szCs w:val="20"/>
            <w:u w:val="none"/>
          </w:rPr>
          <w:t xml:space="preserve"> de la Universidad Del Norte</w:t>
        </w:r>
      </w:hyperlink>
      <w:r>
        <w:rPr>
          <w:rFonts w:ascii="Palatino Linotype" w:hAnsi="Palatino Linotype"/>
          <w:sz w:val="20"/>
          <w:szCs w:val="20"/>
        </w:rPr>
        <w:t xml:space="preserve">, or </w:t>
      </w:r>
      <w:hyperlink r:id="rId46" w:history="1">
        <w:r>
          <w:rPr>
            <w:rStyle w:val="Hyperlink"/>
            <w:rFonts w:ascii="Palatino Linotype" w:hAnsi="Palatino Linotype"/>
            <w:sz w:val="20"/>
            <w:szCs w:val="20"/>
          </w:rPr>
          <w:t>download from here</w:t>
        </w:r>
      </w:hyperlink>
      <w:r>
        <w:rPr>
          <w:rFonts w:ascii="Palatino Linotype" w:hAnsi="Palatino Linotype"/>
          <w:sz w:val="20"/>
          <w:szCs w:val="20"/>
        </w:rPr>
        <w:t xml:space="preserve"> (this is a version of Chapter 14 of Wood’s </w:t>
      </w:r>
      <w:r>
        <w:rPr>
          <w:rFonts w:ascii="Palatino Linotype" w:hAnsi="Palatino Linotype"/>
          <w:i/>
          <w:sz w:val="20"/>
          <w:szCs w:val="20"/>
        </w:rPr>
        <w:t>Kantian Ethics</w:t>
      </w:r>
      <w:r>
        <w:rPr>
          <w:rFonts w:ascii="Palatino Linotype" w:hAnsi="Palatino Linotype"/>
          <w:iCs/>
          <w:sz w:val="20"/>
          <w:szCs w:val="20"/>
        </w:rPr>
        <w:t xml:space="preserve"> (Cambridge: Cambridge University Press, 2008</w:t>
      </w:r>
      <w:r>
        <w:rPr>
          <w:rFonts w:ascii="Palatino Linotype" w:hAnsi="Palatino Linotype"/>
          <w:sz w:val="20"/>
          <w:szCs w:val="20"/>
        </w:rPr>
        <w:t>)</w:t>
      </w:r>
    </w:p>
    <w:p w14:paraId="7A5552AE" w14:textId="77777777" w:rsidR="00BA2D05" w:rsidRDefault="00BA2D05">
      <w:pPr>
        <w:rPr>
          <w:rFonts w:ascii="Palatino Linotype" w:hAnsi="Palatino Linotype"/>
          <w:sz w:val="20"/>
          <w:szCs w:val="20"/>
        </w:rPr>
      </w:pPr>
    </w:p>
    <w:p w14:paraId="3651E236" w14:textId="77777777" w:rsidR="00BA2D05" w:rsidRDefault="00BA2D05">
      <w:pPr>
        <w:rPr>
          <w:rFonts w:ascii="Palatino Linotype" w:hAnsi="Palatino Linotype"/>
        </w:rPr>
      </w:pPr>
    </w:p>
    <w:p w14:paraId="7E5FF4F9" w14:textId="77777777" w:rsidR="00BA2D05" w:rsidRDefault="0016058C">
      <w:pPr>
        <w:pStyle w:val="Heading2"/>
        <w:rPr>
          <w:rFonts w:ascii="Palatino Linotype" w:hAnsi="Palatino Linotype"/>
          <w:color w:val="C00000"/>
        </w:rPr>
      </w:pPr>
      <w:r>
        <w:rPr>
          <w:rFonts w:ascii="Palatino Linotype" w:hAnsi="Palatino Linotype"/>
          <w:color w:val="C00000"/>
        </w:rPr>
        <w:t>Week 10:</w:t>
      </w:r>
    </w:p>
    <w:p w14:paraId="4245FFF9" w14:textId="77777777" w:rsidR="00BA2D05" w:rsidRDefault="0016058C">
      <w:pPr>
        <w:pStyle w:val="Heading2"/>
        <w:rPr>
          <w:rFonts w:ascii="Palatino Linotype" w:hAnsi="Palatino Linotype"/>
        </w:rPr>
      </w:pPr>
      <w:r>
        <w:rPr>
          <w:rFonts w:ascii="Palatino Linotype" w:hAnsi="Palatino Linotype"/>
          <w:color w:val="C00000"/>
        </w:rPr>
        <w:t>The Formulations of the Categorical Imperative</w:t>
      </w:r>
    </w:p>
    <w:p w14:paraId="1279D5B1" w14:textId="77777777" w:rsidR="00BA2D05" w:rsidRDefault="0016058C">
      <w:pPr>
        <w:rPr>
          <w:rFonts w:ascii="Palatino Linotype" w:hAnsi="Palatino Linotype"/>
          <w:sz w:val="20"/>
          <w:szCs w:val="20"/>
        </w:rPr>
      </w:pPr>
      <w:r>
        <w:rPr>
          <w:rFonts w:ascii="Palatino Linotype" w:hAnsi="Palatino Linotype"/>
          <w:sz w:val="20"/>
          <w:szCs w:val="20"/>
        </w:rPr>
        <w:t xml:space="preserve">The different </w:t>
      </w:r>
      <w:proofErr w:type="gramStart"/>
      <w:r>
        <w:rPr>
          <w:rFonts w:ascii="Palatino Linotype" w:hAnsi="Palatino Linotype"/>
          <w:sz w:val="20"/>
          <w:szCs w:val="20"/>
        </w:rPr>
        <w:t>formulations;</w:t>
      </w:r>
      <w:proofErr w:type="gramEnd"/>
      <w:r>
        <w:rPr>
          <w:rFonts w:ascii="Palatino Linotype" w:hAnsi="Palatino Linotype"/>
          <w:sz w:val="20"/>
          <w:szCs w:val="20"/>
        </w:rPr>
        <w:t xml:space="preserve"> whether they are in any sense equivalent; how to interpret the formula of universal law as a test; how to interpret treating persons ‘as ends in themselves’; the scope and prejudices of Kant’s ethics.</w:t>
      </w:r>
    </w:p>
    <w:p w14:paraId="67079FCB" w14:textId="77777777" w:rsidR="00BA2D05" w:rsidRDefault="00BA2D05">
      <w:pPr>
        <w:rPr>
          <w:rFonts w:ascii="Palatino Linotype" w:hAnsi="Palatino Linotype"/>
          <w:sz w:val="20"/>
          <w:szCs w:val="20"/>
        </w:rPr>
      </w:pPr>
    </w:p>
    <w:p w14:paraId="2A8A2D4D" w14:textId="77777777" w:rsidR="00BA2D05" w:rsidRDefault="0016058C">
      <w:pPr>
        <w:rPr>
          <w:rFonts w:ascii="Palatino Linotype" w:hAnsi="Palatino Linotype"/>
        </w:rPr>
      </w:pPr>
      <w:r>
        <w:rPr>
          <w:rFonts w:ascii="Palatino Linotype" w:hAnsi="Palatino Linotype"/>
          <w:b/>
          <w:bCs/>
        </w:rPr>
        <w:t>*</w:t>
      </w:r>
      <w:r>
        <w:rPr>
          <w:rFonts w:ascii="Palatino Linotype" w:hAnsi="Palatino Linotype"/>
          <w:b/>
          <w:bCs/>
          <w:i/>
          <w:iCs/>
        </w:rPr>
        <w:t>Groundwork</w:t>
      </w:r>
      <w:r>
        <w:rPr>
          <w:rFonts w:ascii="Palatino Linotype" w:hAnsi="Palatino Linotype"/>
        </w:rPr>
        <w:t>: Section II</w:t>
      </w:r>
    </w:p>
    <w:p w14:paraId="11F8B4CC" w14:textId="77777777" w:rsidR="00BA2D05" w:rsidRDefault="00BA2D05">
      <w:pPr>
        <w:rPr>
          <w:rFonts w:ascii="Palatino Linotype" w:hAnsi="Palatino Linotype"/>
          <w:sz w:val="20"/>
          <w:szCs w:val="20"/>
        </w:rPr>
      </w:pPr>
    </w:p>
    <w:p w14:paraId="0D3CB713" w14:textId="77777777" w:rsidR="00BA2D05" w:rsidRDefault="0016058C">
      <w:pPr>
        <w:ind w:left="284" w:hanging="284"/>
        <w:rPr>
          <w:rFonts w:ascii="Palatino Linotype" w:eastAsia="Calibri" w:hAnsi="Palatino Linotype"/>
          <w:bCs/>
          <w:sz w:val="20"/>
          <w:szCs w:val="20"/>
        </w:rPr>
      </w:pPr>
      <w:r>
        <w:rPr>
          <w:rFonts w:ascii="Palatino Linotype" w:eastAsia="Calibri" w:hAnsi="Palatino Linotype"/>
          <w:bCs/>
          <w:sz w:val="20"/>
          <w:szCs w:val="20"/>
        </w:rPr>
        <w:t>On whether Kant’s ethics is infected by a problematic racism:</w:t>
      </w:r>
    </w:p>
    <w:p w14:paraId="6D4819E2" w14:textId="77777777" w:rsidR="00BA2D05" w:rsidRDefault="0016058C">
      <w:pPr>
        <w:ind w:left="284" w:hanging="284"/>
        <w:rPr>
          <w:rFonts w:ascii="Palatino Linotype" w:eastAsia="Calibri" w:hAnsi="Palatino Linotype"/>
          <w:bCs/>
          <w:sz w:val="20"/>
          <w:szCs w:val="20"/>
        </w:rPr>
      </w:pPr>
      <w:r>
        <w:rPr>
          <w:rFonts w:ascii="Palatino Linotype" w:eastAsia="Calibri" w:hAnsi="Palatino Linotype"/>
          <w:b/>
          <w:sz w:val="20"/>
          <w:szCs w:val="20"/>
        </w:rPr>
        <w:t>Charles W. Mills</w:t>
      </w:r>
      <w:r>
        <w:rPr>
          <w:rFonts w:ascii="Palatino Linotype" w:eastAsia="Calibri" w:hAnsi="Palatino Linotype"/>
          <w:bCs/>
          <w:sz w:val="20"/>
          <w:szCs w:val="20"/>
        </w:rPr>
        <w:t xml:space="preserve"> [2005], ‘Kant’s </w:t>
      </w:r>
      <w:proofErr w:type="spellStart"/>
      <w:r>
        <w:rPr>
          <w:rFonts w:ascii="Palatino Linotype" w:eastAsia="Calibri" w:hAnsi="Palatino Linotype"/>
          <w:bCs/>
          <w:sz w:val="20"/>
          <w:szCs w:val="20"/>
        </w:rPr>
        <w:t>Untermenschen</w:t>
      </w:r>
      <w:proofErr w:type="spellEnd"/>
      <w:r>
        <w:rPr>
          <w:rFonts w:ascii="Palatino Linotype" w:eastAsia="Calibri" w:hAnsi="Palatino Linotype"/>
          <w:bCs/>
          <w:sz w:val="20"/>
          <w:szCs w:val="20"/>
        </w:rPr>
        <w:t xml:space="preserve">’ in </w:t>
      </w:r>
      <w:hyperlink r:id="rId47" w:history="1">
        <w:r>
          <w:rPr>
            <w:rStyle w:val="Hyperlink"/>
            <w:rFonts w:ascii="Palatino Linotype" w:eastAsia="Calibri" w:hAnsi="Palatino Linotype"/>
            <w:bCs/>
            <w:i/>
            <w:iCs/>
            <w:sz w:val="20"/>
            <w:szCs w:val="20"/>
          </w:rPr>
          <w:t>Black Rights/White Wrongs: The Critique of Racial Liberalism</w:t>
        </w:r>
      </w:hyperlink>
      <w:r>
        <w:rPr>
          <w:rFonts w:ascii="Palatino Linotype" w:eastAsia="Calibri" w:hAnsi="Palatino Linotype"/>
          <w:bCs/>
          <w:sz w:val="20"/>
          <w:szCs w:val="20"/>
        </w:rPr>
        <w:t xml:space="preserve"> (Oxford: Oxford University Press, 2017)</w:t>
      </w:r>
    </w:p>
    <w:p w14:paraId="0215E5F9" w14:textId="77777777" w:rsidR="00BA2D05" w:rsidRDefault="0016058C">
      <w:pPr>
        <w:ind w:left="284" w:hanging="284"/>
        <w:rPr>
          <w:rFonts w:ascii="Palatino Linotype" w:eastAsia="Calibri" w:hAnsi="Palatino Linotype"/>
          <w:bCs/>
          <w:sz w:val="20"/>
          <w:szCs w:val="20"/>
        </w:rPr>
      </w:pPr>
      <w:r>
        <w:rPr>
          <w:rFonts w:ascii="Palatino Linotype" w:eastAsia="Calibri" w:hAnsi="Palatino Linotype"/>
          <w:bCs/>
          <w:sz w:val="20"/>
          <w:szCs w:val="20"/>
        </w:rPr>
        <w:t>On the various formulations:</w:t>
      </w:r>
    </w:p>
    <w:p w14:paraId="1D24201B" w14:textId="77777777" w:rsidR="00BA2D05" w:rsidRDefault="0016058C">
      <w:pPr>
        <w:ind w:left="284" w:hanging="284"/>
        <w:rPr>
          <w:rFonts w:ascii="Palatino Linotype" w:eastAsia="Calibri" w:hAnsi="Palatino Linotype"/>
          <w:b/>
          <w:sz w:val="20"/>
          <w:szCs w:val="20"/>
        </w:rPr>
      </w:pPr>
      <w:r>
        <w:rPr>
          <w:rFonts w:ascii="Palatino Linotype" w:eastAsia="Calibri" w:hAnsi="Palatino Linotype"/>
          <w:b/>
          <w:sz w:val="20"/>
          <w:szCs w:val="20"/>
        </w:rPr>
        <w:t>Marcus Arvan</w:t>
      </w:r>
      <w:r>
        <w:rPr>
          <w:rFonts w:ascii="Palatino Linotype" w:eastAsia="Calibri" w:hAnsi="Palatino Linotype"/>
          <w:sz w:val="20"/>
          <w:szCs w:val="20"/>
        </w:rPr>
        <w:t xml:space="preserve">, (2012) ‘Unifying the Categorical Imperative’, </w:t>
      </w:r>
      <w:r>
        <w:rPr>
          <w:rFonts w:ascii="Palatino Linotype" w:eastAsia="Calibri" w:hAnsi="Palatino Linotype"/>
          <w:i/>
          <w:sz w:val="20"/>
          <w:szCs w:val="20"/>
        </w:rPr>
        <w:t xml:space="preserve">Southwest Philosophy Review </w:t>
      </w:r>
      <w:r>
        <w:rPr>
          <w:rFonts w:ascii="Palatino Linotype" w:eastAsia="Calibri" w:hAnsi="Palatino Linotype"/>
          <w:sz w:val="20"/>
          <w:szCs w:val="20"/>
        </w:rPr>
        <w:t>28:1</w:t>
      </w:r>
    </w:p>
    <w:p w14:paraId="0DF06A74" w14:textId="77777777" w:rsidR="00BA2D05" w:rsidRDefault="0016058C">
      <w:pPr>
        <w:ind w:left="284" w:hanging="284"/>
        <w:rPr>
          <w:rFonts w:ascii="Palatino Linotype" w:eastAsia="Calibri" w:hAnsi="Palatino Linotype"/>
          <w:sz w:val="20"/>
          <w:szCs w:val="20"/>
        </w:rPr>
      </w:pPr>
      <w:r>
        <w:rPr>
          <w:rFonts w:ascii="Palatino Linotype" w:eastAsia="Calibri" w:hAnsi="Palatino Linotype"/>
          <w:b/>
          <w:sz w:val="20"/>
          <w:szCs w:val="20"/>
        </w:rPr>
        <w:t>Christine M. Korsgaard</w:t>
      </w:r>
      <w:r>
        <w:rPr>
          <w:rFonts w:ascii="Palatino Linotype" w:eastAsia="Calibri" w:hAnsi="Palatino Linotype"/>
          <w:bCs/>
          <w:sz w:val="20"/>
          <w:szCs w:val="20"/>
        </w:rPr>
        <w:t xml:space="preserve"> (1985)</w:t>
      </w:r>
      <w:r>
        <w:rPr>
          <w:rFonts w:ascii="Palatino Linotype" w:eastAsia="Calibri" w:hAnsi="Palatino Linotype"/>
          <w:sz w:val="20"/>
          <w:szCs w:val="20"/>
        </w:rPr>
        <w:t xml:space="preserve">, ‘Kant’s Formula of Universal Law’, </w:t>
      </w:r>
      <w:r>
        <w:rPr>
          <w:rFonts w:ascii="Palatino Linotype" w:eastAsia="Calibri" w:hAnsi="Palatino Linotype"/>
          <w:i/>
          <w:sz w:val="20"/>
          <w:szCs w:val="20"/>
        </w:rPr>
        <w:t>Pacific Philosophical Quarterly</w:t>
      </w:r>
      <w:r>
        <w:rPr>
          <w:rFonts w:ascii="Palatino Linotype" w:eastAsia="Calibri" w:hAnsi="Palatino Linotype"/>
          <w:sz w:val="20"/>
          <w:szCs w:val="20"/>
        </w:rPr>
        <w:t xml:space="preserve"> 66:1</w:t>
      </w:r>
    </w:p>
    <w:p w14:paraId="5B30A8EC" w14:textId="77777777" w:rsidR="00BA2D05" w:rsidRDefault="0016058C">
      <w:pPr>
        <w:ind w:left="284" w:hanging="284"/>
        <w:rPr>
          <w:rFonts w:ascii="Palatino Linotype" w:eastAsia="Calibri" w:hAnsi="Palatino Linotype"/>
          <w:sz w:val="20"/>
          <w:szCs w:val="20"/>
        </w:rPr>
      </w:pPr>
      <w:r>
        <w:rPr>
          <w:rFonts w:ascii="Palatino Linotype" w:eastAsia="Calibri" w:hAnsi="Palatino Linotype"/>
          <w:b/>
          <w:sz w:val="20"/>
          <w:szCs w:val="20"/>
        </w:rPr>
        <w:t>Christine M. Korsgaard</w:t>
      </w:r>
      <w:r>
        <w:rPr>
          <w:rFonts w:ascii="Palatino Linotype" w:eastAsia="Calibri" w:hAnsi="Palatino Linotype"/>
          <w:bCs/>
          <w:sz w:val="20"/>
          <w:szCs w:val="20"/>
        </w:rPr>
        <w:t xml:space="preserve"> (1986)</w:t>
      </w:r>
      <w:r>
        <w:rPr>
          <w:rFonts w:ascii="Palatino Linotype" w:eastAsia="Calibri" w:hAnsi="Palatino Linotype"/>
          <w:sz w:val="20"/>
          <w:szCs w:val="20"/>
        </w:rPr>
        <w:t xml:space="preserve">, ‘Kant’s Formula of Humanity’, </w:t>
      </w:r>
      <w:r>
        <w:rPr>
          <w:rFonts w:ascii="Palatino Linotype" w:eastAsia="Calibri" w:hAnsi="Palatino Linotype"/>
          <w:i/>
          <w:sz w:val="20"/>
          <w:szCs w:val="20"/>
        </w:rPr>
        <w:t>Kant-</w:t>
      </w:r>
      <w:proofErr w:type="spellStart"/>
      <w:r>
        <w:rPr>
          <w:rFonts w:ascii="Palatino Linotype" w:eastAsia="Calibri" w:hAnsi="Palatino Linotype"/>
          <w:i/>
          <w:sz w:val="20"/>
          <w:szCs w:val="20"/>
        </w:rPr>
        <w:t>Studien</w:t>
      </w:r>
      <w:proofErr w:type="spellEnd"/>
      <w:r>
        <w:rPr>
          <w:rFonts w:ascii="Palatino Linotype" w:eastAsia="Calibri" w:hAnsi="Palatino Linotype"/>
          <w:sz w:val="20"/>
          <w:szCs w:val="20"/>
        </w:rPr>
        <w:t xml:space="preserve"> 77:2</w:t>
      </w:r>
    </w:p>
    <w:p w14:paraId="74CD5C31" w14:textId="77777777" w:rsidR="00BA2D05" w:rsidRDefault="0016058C">
      <w:pPr>
        <w:ind w:left="426"/>
        <w:rPr>
          <w:rFonts w:ascii="Palatino Linotype" w:eastAsia="Calibri" w:hAnsi="Palatino Linotype"/>
          <w:sz w:val="18"/>
          <w:szCs w:val="18"/>
        </w:rPr>
      </w:pPr>
      <w:r>
        <w:rPr>
          <w:rFonts w:ascii="Palatino Linotype" w:eastAsia="Calibri" w:hAnsi="Palatino Linotype"/>
          <w:sz w:val="18"/>
          <w:szCs w:val="18"/>
        </w:rPr>
        <w:lastRenderedPageBreak/>
        <w:t xml:space="preserve">In these papers, Korsgaard offers interesting (separate) discussions of the first two formulations of the Categorical Imperative. Both papers are reprinted in her </w:t>
      </w:r>
      <w:r>
        <w:rPr>
          <w:rFonts w:ascii="Palatino Linotype" w:eastAsia="Calibri" w:hAnsi="Palatino Linotype"/>
          <w:i/>
          <w:sz w:val="18"/>
          <w:szCs w:val="18"/>
        </w:rPr>
        <w:t>Creating the Kingdom of Ends</w:t>
      </w:r>
      <w:r>
        <w:rPr>
          <w:rFonts w:ascii="Palatino Linotype" w:eastAsia="Calibri" w:hAnsi="Palatino Linotype"/>
          <w:sz w:val="18"/>
          <w:szCs w:val="18"/>
        </w:rPr>
        <w:t xml:space="preserve"> (Cambridge: CUP, 1996).</w:t>
      </w:r>
    </w:p>
    <w:p w14:paraId="0556CAAD" w14:textId="77777777" w:rsidR="00BA2D05" w:rsidRDefault="0016058C">
      <w:pPr>
        <w:ind w:left="284" w:hanging="284"/>
        <w:rPr>
          <w:rFonts w:ascii="Palatino Linotype" w:hAnsi="Palatino Linotype"/>
          <w:sz w:val="20"/>
          <w:szCs w:val="20"/>
        </w:rPr>
      </w:pPr>
      <w:r>
        <w:rPr>
          <w:rFonts w:ascii="Palatino Linotype" w:hAnsi="Palatino Linotype"/>
          <w:b/>
          <w:sz w:val="20"/>
          <w:szCs w:val="20"/>
        </w:rPr>
        <w:t>J. David Velleman</w:t>
      </w:r>
      <w:r>
        <w:rPr>
          <w:rFonts w:ascii="Palatino Linotype" w:hAnsi="Palatino Linotype"/>
          <w:bCs/>
          <w:sz w:val="20"/>
          <w:szCs w:val="20"/>
        </w:rPr>
        <w:t xml:space="preserve"> (2006)</w:t>
      </w:r>
      <w:r>
        <w:rPr>
          <w:rFonts w:ascii="Palatino Linotype" w:hAnsi="Palatino Linotype"/>
          <w:sz w:val="20"/>
          <w:szCs w:val="20"/>
        </w:rPr>
        <w:t xml:space="preserve">, ‘A Brief Introduction to Kantian Ethics’ in </w:t>
      </w:r>
      <w:hyperlink r:id="rId48" w:history="1">
        <w:r>
          <w:rPr>
            <w:rStyle w:val="Hyperlink"/>
            <w:rFonts w:ascii="Palatino Linotype" w:hAnsi="Palatino Linotype"/>
            <w:i/>
            <w:sz w:val="20"/>
            <w:szCs w:val="20"/>
          </w:rPr>
          <w:t>Self to Self</w:t>
        </w:r>
      </w:hyperlink>
      <w:r>
        <w:rPr>
          <w:rFonts w:ascii="Palatino Linotype" w:hAnsi="Palatino Linotype"/>
          <w:sz w:val="20"/>
          <w:szCs w:val="20"/>
        </w:rPr>
        <w:t xml:space="preserve"> (Cambridge: Cambridge University Press), Chapter 2 (</w:t>
      </w:r>
      <w:hyperlink r:id="rId49" w:history="1">
        <w:r>
          <w:rPr>
            <w:rStyle w:val="Hyperlink"/>
            <w:rFonts w:ascii="Palatino Linotype" w:hAnsi="Palatino Linotype"/>
            <w:sz w:val="20"/>
            <w:szCs w:val="20"/>
          </w:rPr>
          <w:t>the essay is also available here</w:t>
        </w:r>
      </w:hyperlink>
      <w:r>
        <w:rPr>
          <w:rFonts w:ascii="Palatino Linotype" w:hAnsi="Palatino Linotype"/>
          <w:sz w:val="20"/>
          <w:szCs w:val="20"/>
        </w:rPr>
        <w:t>), esp. pp. 40–4 (the final pages)</w:t>
      </w:r>
    </w:p>
    <w:p w14:paraId="6DAA0086" w14:textId="77777777" w:rsidR="00BA2D05" w:rsidRDefault="0016058C">
      <w:pPr>
        <w:ind w:left="426"/>
        <w:rPr>
          <w:rFonts w:ascii="Palatino Linotype" w:hAnsi="Palatino Linotype"/>
          <w:sz w:val="18"/>
          <w:szCs w:val="18"/>
        </w:rPr>
      </w:pPr>
      <w:r>
        <w:rPr>
          <w:rFonts w:ascii="Palatino Linotype" w:hAnsi="Palatino Linotype"/>
          <w:sz w:val="18"/>
          <w:szCs w:val="18"/>
        </w:rPr>
        <w:t xml:space="preserve">As Velleman makes clear, his ‘Kantianism’ is only loosely based on the texts and theories of Kant himself. Sometimes Velleman clearly flags his disagreements with Kant; but sometimes he says things </w:t>
      </w:r>
      <w:proofErr w:type="gramStart"/>
      <w:r>
        <w:rPr>
          <w:rFonts w:ascii="Palatino Linotype" w:hAnsi="Palatino Linotype"/>
          <w:sz w:val="18"/>
          <w:szCs w:val="18"/>
        </w:rPr>
        <w:t>in the course of</w:t>
      </w:r>
      <w:proofErr w:type="gramEnd"/>
      <w:r>
        <w:rPr>
          <w:rFonts w:ascii="Palatino Linotype" w:hAnsi="Palatino Linotype"/>
          <w:sz w:val="18"/>
          <w:szCs w:val="18"/>
        </w:rPr>
        <w:t xml:space="preserve"> his explanation which I do not think are part of Kant’s view, without making this clear (perhaps because he thinks that they </w:t>
      </w:r>
      <w:r>
        <w:rPr>
          <w:rFonts w:ascii="Palatino Linotype" w:hAnsi="Palatino Linotype"/>
          <w:i/>
          <w:sz w:val="18"/>
          <w:szCs w:val="18"/>
        </w:rPr>
        <w:t>are</w:t>
      </w:r>
      <w:r>
        <w:rPr>
          <w:rFonts w:ascii="Palatino Linotype" w:hAnsi="Palatino Linotype"/>
          <w:sz w:val="18"/>
          <w:szCs w:val="18"/>
        </w:rPr>
        <w:t xml:space="preserve"> part of Kant’s view). Also, this piece does not reference Kant’s work closely at </w:t>
      </w:r>
      <w:proofErr w:type="gramStart"/>
      <w:r>
        <w:rPr>
          <w:rFonts w:ascii="Palatino Linotype" w:hAnsi="Palatino Linotype"/>
          <w:sz w:val="18"/>
          <w:szCs w:val="18"/>
        </w:rPr>
        <w:t>all, and</w:t>
      </w:r>
      <w:proofErr w:type="gramEnd"/>
      <w:r>
        <w:rPr>
          <w:rFonts w:ascii="Palatino Linotype" w:hAnsi="Palatino Linotype"/>
          <w:sz w:val="18"/>
          <w:szCs w:val="18"/>
        </w:rPr>
        <w:t xml:space="preserve"> is not a good example for you to follow in this respect! But there are some very interesting things in this essay, not least the discussion of the value of persons as ‘ends in themselves’ on pp. 40-4.</w:t>
      </w:r>
    </w:p>
    <w:p w14:paraId="2DE2FEEE" w14:textId="77777777" w:rsidR="00BA2D05" w:rsidRDefault="0016058C">
      <w:pPr>
        <w:rPr>
          <w:rFonts w:ascii="Palatino Linotype" w:hAnsi="Palatino Linotype"/>
          <w:sz w:val="20"/>
          <w:szCs w:val="20"/>
        </w:rPr>
      </w:pPr>
      <w:r>
        <w:rPr>
          <w:rFonts w:ascii="Palatino Linotype" w:hAnsi="Palatino Linotype"/>
          <w:b/>
          <w:bCs/>
          <w:sz w:val="20"/>
          <w:szCs w:val="20"/>
        </w:rPr>
        <w:t>Allen W. Wood</w:t>
      </w:r>
      <w:r>
        <w:rPr>
          <w:rFonts w:ascii="Palatino Linotype" w:hAnsi="Palatino Linotype"/>
          <w:sz w:val="20"/>
          <w:szCs w:val="20"/>
        </w:rPr>
        <w:t xml:space="preserve"> (1999), </w:t>
      </w:r>
      <w:r>
        <w:rPr>
          <w:rFonts w:ascii="Palatino Linotype" w:hAnsi="Palatino Linotype"/>
          <w:i/>
          <w:iCs/>
          <w:sz w:val="20"/>
          <w:szCs w:val="20"/>
        </w:rPr>
        <w:t>Kant’s Ethical Thought</w:t>
      </w:r>
      <w:r>
        <w:rPr>
          <w:rFonts w:ascii="Palatino Linotype" w:hAnsi="Palatino Linotype"/>
          <w:sz w:val="20"/>
          <w:szCs w:val="20"/>
        </w:rPr>
        <w:t xml:space="preserve"> (Cambridge: Cambridge University Press)</w:t>
      </w:r>
    </w:p>
    <w:p w14:paraId="785AB9D0" w14:textId="77777777" w:rsidR="00BA2D05" w:rsidRDefault="0016058C">
      <w:pPr>
        <w:ind w:left="426"/>
        <w:rPr>
          <w:rFonts w:ascii="Palatino Linotype" w:hAnsi="Palatino Linotype"/>
          <w:sz w:val="18"/>
          <w:szCs w:val="18"/>
        </w:rPr>
      </w:pPr>
      <w:r>
        <w:rPr>
          <w:rFonts w:ascii="Palatino Linotype" w:hAnsi="Palatino Linotype"/>
          <w:sz w:val="18"/>
          <w:szCs w:val="18"/>
        </w:rPr>
        <w:t xml:space="preserve">Lots of this book is relevant for the second part of this module, but in relation to this week’s discussion of the various formulations of the CI, see esp. Chapters 3 (on the formula of universal law), 4 (on the formula of humanity and ends in themselves) and 5 (on the formula of autonomy and the ‘kingdom of ends’). Wood defends the view that the three formulations are </w:t>
      </w:r>
      <w:r>
        <w:rPr>
          <w:rFonts w:ascii="Palatino Linotype" w:hAnsi="Palatino Linotype"/>
          <w:i/>
          <w:iCs/>
          <w:sz w:val="18"/>
          <w:szCs w:val="18"/>
        </w:rPr>
        <w:t>not</w:t>
      </w:r>
      <w:r>
        <w:rPr>
          <w:rFonts w:ascii="Palatino Linotype" w:hAnsi="Palatino Linotype"/>
          <w:sz w:val="18"/>
          <w:szCs w:val="18"/>
        </w:rPr>
        <w:t xml:space="preserve"> equivalent – and he thinks that the formula of universal law is not the crucial one (it is more of a ‘rule of thumb’, whereas the formula of humanity is the real core of Kant’s ethics). (A similar, but not identical, view is suggested by Rawls, in the text below.) If Wood is right, then my approach in the previous lecture is probably misguided. But I think (you must decide for yourself!) that because my approach in the previous lecture is along the right lines, Wood’s view is incorrect. </w:t>
      </w:r>
    </w:p>
    <w:p w14:paraId="4B975A19" w14:textId="77777777" w:rsidR="00BA2D05" w:rsidRDefault="0016058C">
      <w:pPr>
        <w:ind w:left="284" w:hanging="284"/>
        <w:rPr>
          <w:rFonts w:ascii="Palatino Linotype" w:eastAsia="Calibri" w:hAnsi="Palatino Linotype"/>
          <w:sz w:val="20"/>
          <w:szCs w:val="20"/>
        </w:rPr>
      </w:pPr>
      <w:r>
        <w:rPr>
          <w:rFonts w:ascii="Palatino Linotype" w:eastAsia="Calibri" w:hAnsi="Palatino Linotype"/>
          <w:b/>
          <w:sz w:val="20"/>
          <w:szCs w:val="20"/>
        </w:rPr>
        <w:t xml:space="preserve">Onora (Nell) O’Neill </w:t>
      </w:r>
      <w:r>
        <w:rPr>
          <w:rFonts w:ascii="Palatino Linotype" w:eastAsia="Calibri" w:hAnsi="Palatino Linotype"/>
          <w:bCs/>
          <w:sz w:val="20"/>
          <w:szCs w:val="20"/>
        </w:rPr>
        <w:t>(1975)</w:t>
      </w:r>
      <w:r>
        <w:rPr>
          <w:rFonts w:ascii="Palatino Linotype" w:eastAsia="Calibri" w:hAnsi="Palatino Linotype"/>
          <w:sz w:val="20"/>
          <w:szCs w:val="20"/>
        </w:rPr>
        <w:t xml:space="preserve">, </w:t>
      </w:r>
      <w:r>
        <w:rPr>
          <w:rFonts w:ascii="Palatino Linotype" w:eastAsia="Calibri" w:hAnsi="Palatino Linotype"/>
          <w:i/>
          <w:sz w:val="20"/>
          <w:szCs w:val="20"/>
        </w:rPr>
        <w:t>Acting on Principle: An Essay on Kantian Ethics</w:t>
      </w:r>
      <w:r>
        <w:rPr>
          <w:rFonts w:ascii="Palatino Linotype" w:eastAsia="Calibri" w:hAnsi="Palatino Linotype"/>
          <w:sz w:val="20"/>
          <w:szCs w:val="20"/>
        </w:rPr>
        <w:t xml:space="preserve"> (New York: Columbia University Press), Chapter 5</w:t>
      </w:r>
    </w:p>
    <w:p w14:paraId="08683C8A" w14:textId="77777777" w:rsidR="00BA2D05" w:rsidRDefault="0016058C">
      <w:pPr>
        <w:ind w:left="426"/>
        <w:rPr>
          <w:rFonts w:ascii="Palatino Linotype" w:eastAsia="Calibri" w:hAnsi="Palatino Linotype"/>
          <w:sz w:val="18"/>
          <w:szCs w:val="18"/>
        </w:rPr>
      </w:pPr>
      <w:r>
        <w:rPr>
          <w:rFonts w:ascii="Palatino Linotype" w:eastAsia="Calibri" w:hAnsi="Palatino Linotype"/>
          <w:sz w:val="18"/>
          <w:szCs w:val="18"/>
        </w:rPr>
        <w:t xml:space="preserve">O’Neill’s book (originally published under her maiden name, Nell) is good to read generally, and in this </w:t>
      </w:r>
      <w:proofErr w:type="gramStart"/>
      <w:r>
        <w:rPr>
          <w:rFonts w:ascii="Palatino Linotype" w:eastAsia="Calibri" w:hAnsi="Palatino Linotype"/>
          <w:sz w:val="18"/>
          <w:szCs w:val="18"/>
        </w:rPr>
        <w:t>chapter</w:t>
      </w:r>
      <w:proofErr w:type="gramEnd"/>
      <w:r>
        <w:rPr>
          <w:rFonts w:ascii="Palatino Linotype" w:eastAsia="Calibri" w:hAnsi="Palatino Linotype"/>
          <w:sz w:val="18"/>
          <w:szCs w:val="18"/>
        </w:rPr>
        <w:t xml:space="preserve"> she has a very interesting discussion of the application of the Categorical Imperative. She endorses an interpretation which I will argue against – an interpretation also endorsed by:</w:t>
      </w:r>
    </w:p>
    <w:p w14:paraId="21E72A3D" w14:textId="77777777" w:rsidR="00BA2D05" w:rsidRDefault="0016058C">
      <w:pPr>
        <w:ind w:left="284" w:hanging="284"/>
        <w:rPr>
          <w:rFonts w:ascii="Palatino Linotype" w:eastAsia="Calibri" w:hAnsi="Palatino Linotype"/>
          <w:sz w:val="20"/>
          <w:szCs w:val="20"/>
        </w:rPr>
      </w:pPr>
      <w:r>
        <w:rPr>
          <w:rFonts w:ascii="Palatino Linotype" w:eastAsia="Calibri" w:hAnsi="Palatino Linotype"/>
          <w:b/>
          <w:sz w:val="20"/>
          <w:szCs w:val="20"/>
        </w:rPr>
        <w:t xml:space="preserve">John Rawls </w:t>
      </w:r>
      <w:r>
        <w:rPr>
          <w:rFonts w:ascii="Palatino Linotype" w:eastAsia="Calibri" w:hAnsi="Palatino Linotype"/>
          <w:bCs/>
          <w:sz w:val="20"/>
          <w:szCs w:val="20"/>
        </w:rPr>
        <w:t>(2000)</w:t>
      </w:r>
      <w:r>
        <w:rPr>
          <w:rFonts w:ascii="Palatino Linotype" w:eastAsia="Calibri" w:hAnsi="Palatino Linotype"/>
          <w:sz w:val="20"/>
          <w:szCs w:val="20"/>
        </w:rPr>
        <w:t xml:space="preserve">, </w:t>
      </w:r>
      <w:r>
        <w:rPr>
          <w:rFonts w:ascii="Palatino Linotype" w:eastAsia="Calibri" w:hAnsi="Palatino Linotype"/>
          <w:i/>
          <w:sz w:val="20"/>
          <w:szCs w:val="20"/>
        </w:rPr>
        <w:t>Lectures on the History of Moral Philosophy</w:t>
      </w:r>
      <w:r>
        <w:rPr>
          <w:rFonts w:ascii="Palatino Linotype" w:eastAsia="Calibri" w:hAnsi="Palatino Linotype"/>
          <w:sz w:val="20"/>
          <w:szCs w:val="20"/>
        </w:rPr>
        <w:t xml:space="preserve"> (ed. Barbara Herman) (Cambridge, Mass.: Harvard University Press) pp. 162-80</w:t>
      </w:r>
    </w:p>
    <w:p w14:paraId="3C4C312A" w14:textId="77777777" w:rsidR="00BA2D05" w:rsidRDefault="0016058C">
      <w:pPr>
        <w:ind w:left="426"/>
        <w:rPr>
          <w:rFonts w:ascii="Calibri" w:eastAsia="Times New Roman" w:hAnsi="Calibri"/>
          <w:sz w:val="18"/>
          <w:szCs w:val="18"/>
        </w:rPr>
      </w:pPr>
      <w:r>
        <w:rPr>
          <w:rFonts w:ascii="Palatino Linotype" w:eastAsia="Calibri" w:hAnsi="Palatino Linotype"/>
          <w:sz w:val="18"/>
          <w:szCs w:val="18"/>
        </w:rPr>
        <w:t>In this section of the book, Rawls discusses the first (universal law) formulation of the Categorical Imperative. Also worth reading are the sections on the other formulations, and other aspects of Kant’s philosophy, which are easily located by using the Contents at the front of the book.</w:t>
      </w:r>
    </w:p>
    <w:p w14:paraId="5206EB47" w14:textId="77777777" w:rsidR="00BA2D05" w:rsidRDefault="0016058C">
      <w:pPr>
        <w:rPr>
          <w:rFonts w:ascii="Palatino Linotype" w:hAnsi="Palatino Linotype"/>
          <w:sz w:val="20"/>
          <w:szCs w:val="20"/>
        </w:rPr>
      </w:pPr>
      <w:r>
        <w:rPr>
          <w:rFonts w:ascii="Palatino Linotype" w:hAnsi="Palatino Linotype"/>
          <w:b/>
          <w:bCs/>
          <w:sz w:val="20"/>
          <w:szCs w:val="20"/>
        </w:rPr>
        <w:t xml:space="preserve">Pauline </w:t>
      </w:r>
      <w:proofErr w:type="spellStart"/>
      <w:r>
        <w:rPr>
          <w:rFonts w:ascii="Palatino Linotype" w:hAnsi="Palatino Linotype"/>
          <w:b/>
          <w:bCs/>
          <w:sz w:val="20"/>
          <w:szCs w:val="20"/>
        </w:rPr>
        <w:t>Kleingeld</w:t>
      </w:r>
      <w:proofErr w:type="spellEnd"/>
      <w:r>
        <w:rPr>
          <w:rFonts w:ascii="Palatino Linotype" w:hAnsi="Palatino Linotype"/>
          <w:sz w:val="20"/>
          <w:szCs w:val="20"/>
        </w:rPr>
        <w:t xml:space="preserve"> (2017), ‘Contradiction in Kant’s Formula of Universal Law’, </w:t>
      </w:r>
      <w:hyperlink r:id="rId50" w:history="1">
        <w:r>
          <w:rPr>
            <w:rStyle w:val="Hyperlink"/>
            <w:rFonts w:ascii="Palatino Linotype" w:hAnsi="Palatino Linotype"/>
            <w:i/>
            <w:iCs/>
            <w:sz w:val="20"/>
            <w:szCs w:val="20"/>
          </w:rPr>
          <w:t>Kant-</w:t>
        </w:r>
        <w:proofErr w:type="spellStart"/>
        <w:r>
          <w:rPr>
            <w:rStyle w:val="Hyperlink"/>
            <w:rFonts w:ascii="Palatino Linotype" w:hAnsi="Palatino Linotype"/>
            <w:i/>
            <w:iCs/>
            <w:sz w:val="20"/>
            <w:szCs w:val="20"/>
          </w:rPr>
          <w:t>Studien</w:t>
        </w:r>
        <w:proofErr w:type="spellEnd"/>
        <w:r>
          <w:rPr>
            <w:rStyle w:val="Hyperlink"/>
            <w:rFonts w:ascii="Palatino Linotype" w:hAnsi="Palatino Linotype"/>
            <w:sz w:val="20"/>
            <w:szCs w:val="20"/>
          </w:rPr>
          <w:t xml:space="preserve"> 108:1</w:t>
        </w:r>
      </w:hyperlink>
    </w:p>
    <w:sectPr w:rsidR="00BA2D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4F09" w14:textId="77777777" w:rsidR="0016058C" w:rsidRDefault="0016058C">
      <w:r>
        <w:separator/>
      </w:r>
    </w:p>
  </w:endnote>
  <w:endnote w:type="continuationSeparator" w:id="0">
    <w:p w14:paraId="7A25F45B" w14:textId="77777777" w:rsidR="0016058C" w:rsidRDefault="001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7374" w14:textId="77777777" w:rsidR="00BA2D05" w:rsidRDefault="0016058C">
      <w:r>
        <w:separator/>
      </w:r>
    </w:p>
  </w:footnote>
  <w:footnote w:type="continuationSeparator" w:id="0">
    <w:p w14:paraId="2FE13546" w14:textId="77777777" w:rsidR="00BA2D05" w:rsidRDefault="0016058C">
      <w:r>
        <w:continuationSeparator/>
      </w:r>
    </w:p>
  </w:footnote>
  <w:footnote w:id="1">
    <w:p w14:paraId="68AE1F8F" w14:textId="77777777" w:rsidR="00BA2D05" w:rsidRDefault="0016058C">
      <w:pPr>
        <w:pStyle w:val="FootnoteText"/>
        <w:rPr>
          <w:rFonts w:ascii="Palatino Linotype" w:hAnsi="Palatino Linotype"/>
        </w:rPr>
      </w:pPr>
      <w:r>
        <w:rPr>
          <w:rStyle w:val="FootnoteReference"/>
          <w:rFonts w:ascii="Palatino Linotype" w:hAnsi="Palatino Linotype"/>
        </w:rPr>
        <w:footnoteRef/>
      </w:r>
      <w:r>
        <w:rPr>
          <w:rFonts w:ascii="Palatino Linotype" w:hAnsi="Palatino Linotype"/>
        </w:rPr>
        <w:t xml:space="preserve"> Justin Tiwald &amp; Brian W. Van Norden, </w:t>
      </w:r>
      <w:r>
        <w:rPr>
          <w:rFonts w:ascii="Palatino Linotype" w:hAnsi="Palatino Linotype"/>
          <w:i/>
          <w:iCs/>
        </w:rPr>
        <w:t>Readings in Later Chinese Philosophy: Han Dynasty to the 20</w:t>
      </w:r>
      <w:r>
        <w:rPr>
          <w:rFonts w:ascii="Palatino Linotype" w:hAnsi="Palatino Linotype"/>
          <w:i/>
          <w:iCs/>
          <w:vertAlign w:val="superscript"/>
        </w:rPr>
        <w:t>th</w:t>
      </w:r>
      <w:r>
        <w:rPr>
          <w:rFonts w:ascii="Palatino Linotype" w:hAnsi="Palatino Linotype"/>
          <w:i/>
          <w:iCs/>
        </w:rPr>
        <w:t xml:space="preserve"> Century</w:t>
      </w:r>
      <w:r>
        <w:rPr>
          <w:rFonts w:ascii="Palatino Linotype" w:hAnsi="Palatino Linotype"/>
        </w:rPr>
        <w:t xml:space="preserve"> (Indianapolis: Hackett, 2014), p. 375</w:t>
      </w:r>
    </w:p>
  </w:footnote>
  <w:footnote w:id="2">
    <w:p w14:paraId="7AFD8D7B" w14:textId="77777777" w:rsidR="00BA2D05" w:rsidRDefault="0016058C">
      <w:pPr>
        <w:pStyle w:val="FootnoteText"/>
        <w:rPr>
          <w:rFonts w:ascii="Palatino Linotype" w:hAnsi="Palatino Linotype"/>
        </w:rPr>
      </w:pPr>
      <w:r>
        <w:rPr>
          <w:rStyle w:val="FootnoteReference"/>
          <w:rFonts w:ascii="Palatino Linotype" w:hAnsi="Palatino Linotype"/>
        </w:rPr>
        <w:footnoteRef/>
      </w:r>
      <w:r>
        <w:rPr>
          <w:rFonts w:ascii="Palatino Linotype" w:hAnsi="Palatino Linotype"/>
        </w:rPr>
        <w:t xml:space="preserve"> That is a big claim, but I don’t think even Kant’s greatest admirers would deny that he was sometimes led astray in this way. On the other hand, I think there is also something right about something Derek Parfit says about Kant, which is that Kant was actually a rather inconsistent philosopher (remember, you can both </w:t>
      </w:r>
      <w:r>
        <w:rPr>
          <w:rFonts w:ascii="Palatino Linotype" w:hAnsi="Palatino Linotype"/>
          <w:i/>
          <w:iCs/>
        </w:rPr>
        <w:t>try to be</w:t>
      </w:r>
      <w:r>
        <w:rPr>
          <w:rFonts w:ascii="Palatino Linotype" w:hAnsi="Palatino Linotype"/>
        </w:rPr>
        <w:t xml:space="preserve"> perfectly consistent and systematic, but </w:t>
      </w:r>
      <w:r>
        <w:rPr>
          <w:rFonts w:ascii="Palatino Linotype" w:hAnsi="Palatino Linotype"/>
          <w:i/>
          <w:iCs/>
        </w:rPr>
        <w:t>also</w:t>
      </w:r>
      <w:r>
        <w:rPr>
          <w:rFonts w:ascii="Palatino Linotype" w:hAnsi="Palatino Linotype"/>
        </w:rPr>
        <w:t xml:space="preserve"> end up </w:t>
      </w:r>
      <w:r>
        <w:rPr>
          <w:rFonts w:ascii="Palatino Linotype" w:hAnsi="Palatino Linotype"/>
          <w:i/>
          <w:iCs/>
        </w:rPr>
        <w:t>failing</w:t>
      </w:r>
      <w:r>
        <w:rPr>
          <w:rFonts w:ascii="Palatino Linotype" w:hAnsi="Palatino Linotype"/>
        </w:rPr>
        <w:t xml:space="preserve"> to be!), and that this is a good thing in so far as he could not have had so many interesting and important ideas if he h</w:t>
      </w:r>
      <w:r>
        <w:rPr>
          <w:rFonts w:ascii="Palatino Linotype" w:hAnsi="Palatino Linotype"/>
        </w:rPr>
        <w:t xml:space="preserve">ad been consistent! (Parfit, </w:t>
      </w:r>
      <w:r>
        <w:rPr>
          <w:rFonts w:ascii="Palatino Linotype" w:hAnsi="Palatino Linotype"/>
          <w:i/>
          <w:iCs/>
        </w:rPr>
        <w:t>On What Matters (Volume 1)</w:t>
      </w:r>
      <w:r>
        <w:rPr>
          <w:rFonts w:ascii="Palatino Linotype" w:hAnsi="Palatino Linotype"/>
        </w:rPr>
        <w:t xml:space="preserve"> (Oxford: Oxford University Press, 2011), p. xlii)</w:t>
      </w:r>
    </w:p>
  </w:footnote>
  <w:footnote w:id="3">
    <w:p w14:paraId="6C29B466" w14:textId="77777777" w:rsidR="00BA2D05" w:rsidRDefault="0016058C">
      <w:pPr>
        <w:rPr>
          <w:sz w:val="20"/>
          <w:szCs w:val="20"/>
        </w:rPr>
      </w:pPr>
      <w:r>
        <w:rPr>
          <w:rStyle w:val="FootnoteReference"/>
          <w:rFonts w:ascii="Palatino Linotype" w:hAnsi="Palatino Linotype"/>
          <w:sz w:val="20"/>
          <w:szCs w:val="20"/>
        </w:rPr>
        <w:footnoteRef/>
      </w:r>
      <w:r>
        <w:rPr>
          <w:rFonts w:ascii="Palatino Linotype" w:hAnsi="Palatino Linotype"/>
          <w:sz w:val="20"/>
          <w:szCs w:val="20"/>
        </w:rPr>
        <w:t xml:space="preserve"> Some of the further reading I list is in this tradition. Allen Wood, for example, in his </w:t>
      </w:r>
      <w:r>
        <w:rPr>
          <w:rFonts w:ascii="Palatino Linotype" w:hAnsi="Palatino Linotype"/>
          <w:i/>
          <w:sz w:val="20"/>
          <w:szCs w:val="20"/>
        </w:rPr>
        <w:t>Kant’s Ethical Thought</w:t>
      </w:r>
      <w:r>
        <w:rPr>
          <w:rFonts w:ascii="Palatino Linotype" w:hAnsi="Palatino Linotype"/>
          <w:sz w:val="20"/>
          <w:szCs w:val="20"/>
        </w:rPr>
        <w:t xml:space="preserve"> sees the defensible core of Kant’s ideas as largely logically independent from his theoretical philosophy. He develops what he thinks is most right about Kant’s ideas – extending them beyond what Kant thought (especially beyond the metaphysics and epistemology), and jettisoning some of Kant’s own arguments – in his </w:t>
      </w:r>
      <w:r>
        <w:rPr>
          <w:rFonts w:ascii="Palatino Linotype" w:hAnsi="Palatino Linotype"/>
          <w:i/>
          <w:sz w:val="20"/>
          <w:szCs w:val="20"/>
        </w:rPr>
        <w:t>Kantian Ethics</w:t>
      </w:r>
      <w:r>
        <w:rPr>
          <w:rFonts w:ascii="Palatino Linotype" w:hAnsi="Palatino Linotype"/>
          <w:sz w:val="20"/>
          <w:szCs w:val="20"/>
        </w:rPr>
        <w:t xml:space="preserve"> (Cambridge: Cambridge University Press, 2008).</w:t>
      </w:r>
    </w:p>
  </w:footnote>
  <w:footnote w:id="4">
    <w:p w14:paraId="16FA8BB1" w14:textId="77777777" w:rsidR="00BA2D05" w:rsidRDefault="0016058C">
      <w:pPr>
        <w:pStyle w:val="FootnoteText"/>
        <w:rPr>
          <w:rFonts w:ascii="Palatino Linotype" w:hAnsi="Palatino Linotype"/>
        </w:rPr>
      </w:pPr>
      <w:r>
        <w:rPr>
          <w:rStyle w:val="FootnoteReference"/>
          <w:rFonts w:ascii="Palatino Linotype" w:hAnsi="Palatino Linotype"/>
        </w:rPr>
        <w:footnoteRef/>
      </w:r>
      <w:r>
        <w:rPr>
          <w:rFonts w:ascii="Palatino Linotype" w:hAnsi="Palatino Linotype"/>
        </w:rPr>
        <w:t xml:space="preserve"> I recommend specific chapters of some of these books as further reading some weeks. But you should feel free to look at the discussions of each topic in any of these books </w:t>
      </w:r>
      <w:proofErr w:type="gramStart"/>
      <w:r>
        <w:rPr>
          <w:rFonts w:ascii="Palatino Linotype" w:hAnsi="Palatino Linotype"/>
        </w:rPr>
        <w:t>whether or not</w:t>
      </w:r>
      <w:proofErr w:type="gramEnd"/>
      <w:r>
        <w:rPr>
          <w:rFonts w:ascii="Palatino Linotype" w:hAnsi="Palatino Linotype"/>
        </w:rPr>
        <w:t xml:space="preserve"> I list the relevant chapter as further reading. Note that in recommending these books I am falling into a common trap for teachers, which is to teach the way you have been taught yourself: I read most of them when I was studying Kant as a student myself. But I don’t mean to imply that these are the </w:t>
      </w:r>
      <w:r>
        <w:rPr>
          <w:rFonts w:ascii="Palatino Linotype" w:hAnsi="Palatino Linotype"/>
          <w:i/>
          <w:iCs/>
        </w:rPr>
        <w:t>only</w:t>
      </w:r>
      <w:r>
        <w:rPr>
          <w:rFonts w:ascii="Palatino Linotype" w:hAnsi="Palatino Linotype"/>
        </w:rPr>
        <w:t xml:space="preserve"> good or interesting</w:t>
      </w:r>
      <w:r>
        <w:rPr>
          <w:rFonts w:ascii="Palatino Linotype" w:hAnsi="Palatino Linotype"/>
        </w:rPr>
        <w:t xml:space="preserve"> things to look at. The literature on Kant is </w:t>
      </w:r>
      <w:r>
        <w:rPr>
          <w:rFonts w:ascii="Palatino Linotype" w:hAnsi="Palatino Linotype"/>
          <w:i/>
          <w:iCs/>
        </w:rPr>
        <w:t>vast</w:t>
      </w:r>
      <w:r>
        <w:rPr>
          <w:rFonts w:ascii="Palatino Linotype" w:hAnsi="Palatino Linotype"/>
        </w:rPr>
        <w:t xml:space="preserve">, so this list is intended to help you choose something from 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03296"/>
    <w:multiLevelType w:val="multilevel"/>
    <w:tmpl w:val="523032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091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FAD"/>
    <w:rsid w:val="0000539D"/>
    <w:rsid w:val="00015B69"/>
    <w:rsid w:val="00016A7C"/>
    <w:rsid w:val="000342F7"/>
    <w:rsid w:val="00052769"/>
    <w:rsid w:val="00055F24"/>
    <w:rsid w:val="00063061"/>
    <w:rsid w:val="0007167C"/>
    <w:rsid w:val="00071E18"/>
    <w:rsid w:val="000771B9"/>
    <w:rsid w:val="00093980"/>
    <w:rsid w:val="000A354F"/>
    <w:rsid w:val="000C37DA"/>
    <w:rsid w:val="000C3EE3"/>
    <w:rsid w:val="000F14C6"/>
    <w:rsid w:val="000F4CA8"/>
    <w:rsid w:val="000F7817"/>
    <w:rsid w:val="001112E6"/>
    <w:rsid w:val="00113367"/>
    <w:rsid w:val="00146886"/>
    <w:rsid w:val="00157551"/>
    <w:rsid w:val="001604CD"/>
    <w:rsid w:val="0016058C"/>
    <w:rsid w:val="001614E6"/>
    <w:rsid w:val="00166DE8"/>
    <w:rsid w:val="00172017"/>
    <w:rsid w:val="001802AF"/>
    <w:rsid w:val="001A648C"/>
    <w:rsid w:val="001A6C26"/>
    <w:rsid w:val="001B1BF9"/>
    <w:rsid w:val="001B7EA1"/>
    <w:rsid w:val="001C5944"/>
    <w:rsid w:val="001D27A0"/>
    <w:rsid w:val="001F56A6"/>
    <w:rsid w:val="00203A9D"/>
    <w:rsid w:val="00215BD9"/>
    <w:rsid w:val="00225BEC"/>
    <w:rsid w:val="00234668"/>
    <w:rsid w:val="00236405"/>
    <w:rsid w:val="0024074E"/>
    <w:rsid w:val="002423E8"/>
    <w:rsid w:val="00244E63"/>
    <w:rsid w:val="002461A9"/>
    <w:rsid w:val="002470C3"/>
    <w:rsid w:val="00252E3C"/>
    <w:rsid w:val="00257FE5"/>
    <w:rsid w:val="002756C2"/>
    <w:rsid w:val="00287328"/>
    <w:rsid w:val="00295DA0"/>
    <w:rsid w:val="002B1258"/>
    <w:rsid w:val="002B62DC"/>
    <w:rsid w:val="002E71C3"/>
    <w:rsid w:val="00307A99"/>
    <w:rsid w:val="00313705"/>
    <w:rsid w:val="003373B4"/>
    <w:rsid w:val="00341AF1"/>
    <w:rsid w:val="0034322D"/>
    <w:rsid w:val="00351B73"/>
    <w:rsid w:val="00360C83"/>
    <w:rsid w:val="00363B1D"/>
    <w:rsid w:val="003673B2"/>
    <w:rsid w:val="003B6D66"/>
    <w:rsid w:val="003C5500"/>
    <w:rsid w:val="003C6950"/>
    <w:rsid w:val="003D0113"/>
    <w:rsid w:val="003D1DB6"/>
    <w:rsid w:val="003F27F6"/>
    <w:rsid w:val="003F3185"/>
    <w:rsid w:val="00412932"/>
    <w:rsid w:val="004421E6"/>
    <w:rsid w:val="004639FA"/>
    <w:rsid w:val="00464263"/>
    <w:rsid w:val="00472C3E"/>
    <w:rsid w:val="00480BD1"/>
    <w:rsid w:val="004929DD"/>
    <w:rsid w:val="004A419A"/>
    <w:rsid w:val="004B0DFB"/>
    <w:rsid w:val="004D23CE"/>
    <w:rsid w:val="004F5CCD"/>
    <w:rsid w:val="00504412"/>
    <w:rsid w:val="00521FBC"/>
    <w:rsid w:val="00544F8C"/>
    <w:rsid w:val="00546EFE"/>
    <w:rsid w:val="00551326"/>
    <w:rsid w:val="00562961"/>
    <w:rsid w:val="0056313A"/>
    <w:rsid w:val="005634EC"/>
    <w:rsid w:val="005C6AE5"/>
    <w:rsid w:val="005D7E1F"/>
    <w:rsid w:val="005E1C63"/>
    <w:rsid w:val="005E6D45"/>
    <w:rsid w:val="00601329"/>
    <w:rsid w:val="00603E75"/>
    <w:rsid w:val="006147C0"/>
    <w:rsid w:val="00624225"/>
    <w:rsid w:val="00641456"/>
    <w:rsid w:val="00646CA5"/>
    <w:rsid w:val="00650AB5"/>
    <w:rsid w:val="00654656"/>
    <w:rsid w:val="006623B3"/>
    <w:rsid w:val="0066751F"/>
    <w:rsid w:val="00686273"/>
    <w:rsid w:val="00687423"/>
    <w:rsid w:val="00695F7E"/>
    <w:rsid w:val="006A309E"/>
    <w:rsid w:val="006C71B7"/>
    <w:rsid w:val="006D141E"/>
    <w:rsid w:val="006D28FB"/>
    <w:rsid w:val="006E2756"/>
    <w:rsid w:val="006F3744"/>
    <w:rsid w:val="00713DDE"/>
    <w:rsid w:val="00715377"/>
    <w:rsid w:val="00727FAD"/>
    <w:rsid w:val="00757813"/>
    <w:rsid w:val="0077289A"/>
    <w:rsid w:val="00775000"/>
    <w:rsid w:val="007813E1"/>
    <w:rsid w:val="007979A6"/>
    <w:rsid w:val="007B558C"/>
    <w:rsid w:val="007C4319"/>
    <w:rsid w:val="007E6EEF"/>
    <w:rsid w:val="007F09BF"/>
    <w:rsid w:val="0080736F"/>
    <w:rsid w:val="00817961"/>
    <w:rsid w:val="00831B78"/>
    <w:rsid w:val="0083704D"/>
    <w:rsid w:val="00844DFE"/>
    <w:rsid w:val="00860D5A"/>
    <w:rsid w:val="00865543"/>
    <w:rsid w:val="008661B5"/>
    <w:rsid w:val="00874ADE"/>
    <w:rsid w:val="00883385"/>
    <w:rsid w:val="008917D9"/>
    <w:rsid w:val="00896B82"/>
    <w:rsid w:val="0089786B"/>
    <w:rsid w:val="008A334A"/>
    <w:rsid w:val="008B6C69"/>
    <w:rsid w:val="008D6331"/>
    <w:rsid w:val="008F2063"/>
    <w:rsid w:val="008F47B4"/>
    <w:rsid w:val="00900935"/>
    <w:rsid w:val="00916A72"/>
    <w:rsid w:val="00925B2F"/>
    <w:rsid w:val="00937F56"/>
    <w:rsid w:val="00943F50"/>
    <w:rsid w:val="00953968"/>
    <w:rsid w:val="00962625"/>
    <w:rsid w:val="00964A2C"/>
    <w:rsid w:val="00966B5D"/>
    <w:rsid w:val="0098534A"/>
    <w:rsid w:val="00995D5D"/>
    <w:rsid w:val="009C513C"/>
    <w:rsid w:val="009C6F9F"/>
    <w:rsid w:val="009D2ADC"/>
    <w:rsid w:val="009D37CB"/>
    <w:rsid w:val="009D7AFD"/>
    <w:rsid w:val="009F67C3"/>
    <w:rsid w:val="009F72B3"/>
    <w:rsid w:val="00A11B20"/>
    <w:rsid w:val="00A2618F"/>
    <w:rsid w:val="00A5038B"/>
    <w:rsid w:val="00A5508A"/>
    <w:rsid w:val="00A55E6D"/>
    <w:rsid w:val="00A662A6"/>
    <w:rsid w:val="00AA2F31"/>
    <w:rsid w:val="00AA6B85"/>
    <w:rsid w:val="00AB5E94"/>
    <w:rsid w:val="00AC15B4"/>
    <w:rsid w:val="00AF1899"/>
    <w:rsid w:val="00AF2DCE"/>
    <w:rsid w:val="00AF7DEA"/>
    <w:rsid w:val="00B00A24"/>
    <w:rsid w:val="00B00A5B"/>
    <w:rsid w:val="00B145E9"/>
    <w:rsid w:val="00B4569D"/>
    <w:rsid w:val="00B570EB"/>
    <w:rsid w:val="00B80900"/>
    <w:rsid w:val="00B80A81"/>
    <w:rsid w:val="00B81BE5"/>
    <w:rsid w:val="00B9034C"/>
    <w:rsid w:val="00BA0FCD"/>
    <w:rsid w:val="00BA2D05"/>
    <w:rsid w:val="00BA6BD0"/>
    <w:rsid w:val="00BB19BC"/>
    <w:rsid w:val="00BB1C50"/>
    <w:rsid w:val="00BC119A"/>
    <w:rsid w:val="00BC6F41"/>
    <w:rsid w:val="00C02C96"/>
    <w:rsid w:val="00C050DD"/>
    <w:rsid w:val="00C05D93"/>
    <w:rsid w:val="00C32982"/>
    <w:rsid w:val="00C4798C"/>
    <w:rsid w:val="00C5268B"/>
    <w:rsid w:val="00C67F25"/>
    <w:rsid w:val="00C72E1F"/>
    <w:rsid w:val="00C75F56"/>
    <w:rsid w:val="00C809BE"/>
    <w:rsid w:val="00C81296"/>
    <w:rsid w:val="00C82DBC"/>
    <w:rsid w:val="00CF1D1D"/>
    <w:rsid w:val="00CF2149"/>
    <w:rsid w:val="00CF769E"/>
    <w:rsid w:val="00D13EC6"/>
    <w:rsid w:val="00D20A2E"/>
    <w:rsid w:val="00D265F7"/>
    <w:rsid w:val="00D33143"/>
    <w:rsid w:val="00DE4943"/>
    <w:rsid w:val="00DF5DAD"/>
    <w:rsid w:val="00E00E40"/>
    <w:rsid w:val="00E01A18"/>
    <w:rsid w:val="00E33473"/>
    <w:rsid w:val="00E33A0B"/>
    <w:rsid w:val="00E36BCF"/>
    <w:rsid w:val="00E52018"/>
    <w:rsid w:val="00E7110B"/>
    <w:rsid w:val="00E80D04"/>
    <w:rsid w:val="00E96FA8"/>
    <w:rsid w:val="00EA1ACE"/>
    <w:rsid w:val="00EB1B6D"/>
    <w:rsid w:val="00ED75DA"/>
    <w:rsid w:val="00EF2AD1"/>
    <w:rsid w:val="00EF524C"/>
    <w:rsid w:val="00F015AA"/>
    <w:rsid w:val="00F43BC2"/>
    <w:rsid w:val="00F75065"/>
    <w:rsid w:val="00F84A70"/>
    <w:rsid w:val="00FB451F"/>
    <w:rsid w:val="00FC00FE"/>
    <w:rsid w:val="00FC58FC"/>
    <w:rsid w:val="00FD676F"/>
    <w:rsid w:val="00FE4BC2"/>
    <w:rsid w:val="00FF40FA"/>
    <w:rsid w:val="7CA023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3CF1"/>
  <w15:docId w15:val="{2A3AE1E4-21BE-4AC7-84E9-373049D5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pPr>
      <w:spacing w:after="160"/>
    </w:pPr>
    <w:rPr>
      <w:rFonts w:eastAsiaTheme="minorEastAsia"/>
      <w:color w:val="595959" w:themeColor="text1" w:themeTint="A6"/>
      <w:spacing w:val="15"/>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95959" w:themeColor="text1" w:themeTint="A6"/>
      <w:spacing w:val="15"/>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noteTextChar">
    <w:name w:val="Footnote Text Char"/>
    <w:basedOn w:val="DefaultParagraphFont"/>
    <w:link w:val="FootnoteText"/>
    <w:uiPriority w:val="99"/>
    <w:semiHidden/>
    <w:rPr>
      <w:sz w:val="20"/>
      <w:szCs w:val="20"/>
    </w:rPr>
  </w:style>
  <w:style w:type="character" w:customStyle="1" w:styleId="author-name">
    <w:name w:val="author-name"/>
    <w:basedOn w:val="DefaultParagraphFont"/>
  </w:style>
  <w:style w:type="paragraph" w:customStyle="1" w:styleId="Default">
    <w:name w:val="Default"/>
    <w:pPr>
      <w:autoSpaceDE w:val="0"/>
      <w:autoSpaceDN w:val="0"/>
      <w:adjustRightInd w:val="0"/>
    </w:pPr>
    <w:rPr>
      <w:rFonts w:ascii="Palatino Linotype" w:hAnsi="Palatino Linotype" w:cs="Palatino Linotype"/>
      <w:color w:val="000000"/>
      <w:sz w:val="24"/>
      <w:szCs w:val="24"/>
      <w:lang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ambridge-org.libproxy.york.ac.uk/core/services/aop-cambridge-core/content/view/D16F283E22DE7203B7E8ACCAA007DBE6/9780511813306c11_p605-616_CBO.pdf/on_a_supposed_right_to_lie_from_philanthropy_1797.pdf" TargetMode="External"/><Relationship Id="rId18" Type="http://schemas.openxmlformats.org/officeDocument/2006/relationships/hyperlink" Target="https://www-cambridge-org.libproxy.york.ac.uk/core/services/aop-cambridge-core/content/view/9264C19E216588A065AD0786DCD15BAF/9780511813306c10_p353-604_CBO.pdf/metaphysics_of_morals_1797.pdf" TargetMode="External"/><Relationship Id="rId26" Type="http://schemas.openxmlformats.org/officeDocument/2006/relationships/hyperlink" Target="https://www.bbc.co.uk/programmes/b0952zl3" TargetMode="External"/><Relationship Id="rId39" Type="http://schemas.openxmlformats.org/officeDocument/2006/relationships/hyperlink" Target="https://www-cambridge-org.libproxy.york.ac.uk/core/books/cambridge-companion-to-kant-and-modern-philosophy/0648DD16F3F3225B8F22FC9C920CEEF9" TargetMode="External"/><Relationship Id="rId21" Type="http://schemas.openxmlformats.org/officeDocument/2006/relationships/hyperlink" Target="https://yorsearch.york.ac.uk/primo-explore/fulldisplay?docid=44YORK_ALMA_DS51305976160001381&amp;context=L&amp;vid=44YORK-NUI&amp;lang=en_US&amp;search_scope=default_scope&amp;adaptor=Local%20Search%20Engine&amp;isFrbr=true&amp;tab=default_tab&amp;query=any,contains,the%20cambridge%20companion%20to%20kant&amp;offset=0" TargetMode="External"/><Relationship Id="rId34" Type="http://schemas.openxmlformats.org/officeDocument/2006/relationships/hyperlink" Target="https://yorsearch.york.ac.uk/primo-explore/fulldisplay?docid=44YORK_ALMA_DS51302830590001381&amp;context=L&amp;vid=44YORK-NUI&amp;lang=en_US&amp;search_scope=default_scope&amp;adaptor=Local%20Search%20Engine&amp;isFrbr=true&amp;tab=default_tab&amp;query=any,contains,van%20cleve%20james%20problems%20from%20kant&amp;offset=0" TargetMode="External"/><Relationship Id="rId42" Type="http://schemas.openxmlformats.org/officeDocument/2006/relationships/hyperlink" Target="file:///C:\Users\cj683\Downloads\Marcia%20Baron%20(2002),%20&#8216;Acting%20from%20Duty&#8217;%20in" TargetMode="External"/><Relationship Id="rId47" Type="http://schemas.openxmlformats.org/officeDocument/2006/relationships/hyperlink" Target="https://oxford-universitypressscholarship-com.libproxy.york.ac.uk/view/10.1093/acprof:oso/9780190245412.001.0001/acprof-9780190245412" TargetMode="External"/><Relationship Id="rId50" Type="http://schemas.openxmlformats.org/officeDocument/2006/relationships/hyperlink" Target="https://www.degruyter.com/document/doi/10.1515/kant-2017-0006/html"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reader.cambridge.org/wr/viewer.html?skipLastRead=true" TargetMode="External"/><Relationship Id="rId29" Type="http://schemas.openxmlformats.org/officeDocument/2006/relationships/hyperlink" Target="https://www-cambridge-org.libproxy.york.ac.uk/core/services/aop-cambridge-core/content/view/F817B8FD2F88F2CC4543FDC8DC68AEF7/9781139000536int_p1-25_CBO.pdf/introduction.pdf" TargetMode="External"/><Relationship Id="rId11" Type="http://schemas.openxmlformats.org/officeDocument/2006/relationships/hyperlink" Target="https://yorsearch.york.ac.uk/primo-explore/fulldisplay?docid=TN_cdi_askewsholts_vlebooks_9780511808517&amp;context=PC&amp;vid=44YORK-NUI&amp;lang=en_US&amp;search_scope=default_scope&amp;adaptor=primo_central_multiple_fe&amp;tab=default_tab&amp;query=any,contains,prolegomena%20Hatfield&amp;offset=0" TargetMode="External"/><Relationship Id="rId24" Type="http://schemas.openxmlformats.org/officeDocument/2006/relationships/hyperlink" Target="https://yorsearch.york.ac.uk/primo-explore/fulldisplay?docid=44YORK_ALMA_DS51302830590001381&amp;context=L&amp;vid=44YORK-NUI&amp;lang=en_US&amp;search_scope=default_scope&amp;adaptor=Local%20Search%20Engine&amp;isFrbr=true&amp;tab=default_tab&amp;query=any,contains,van%20cleve%20james%20problems%20from%20kant&amp;offset=0" TargetMode="External"/><Relationship Id="rId32" Type="http://schemas.openxmlformats.org/officeDocument/2006/relationships/hyperlink" Target="https://yorsearch.york.ac.uk/primo-explore/fulldisplay?docid=44YORK_ALMA_DS51302830590001381&amp;context=L&amp;vid=44YORK-NUI&amp;lang=en_US&amp;search_scope=default_scope&amp;adaptor=Local%20Search%20Engine&amp;isFrbr=true&amp;tab=default_tab&amp;query=any,contains,van%20cleve%20james%20problems%20from%20kant&amp;offset=0" TargetMode="External"/><Relationship Id="rId37" Type="http://schemas.openxmlformats.org/officeDocument/2006/relationships/hyperlink" Target="https://yorsearch.york.ac.uk/primo-explore/fulldisplay?docid=44YORK_ALMA_DS51302830590001381&amp;context=L&amp;vid=44YORK-NUI&amp;lang=en_US&amp;search_scope=default_scope&amp;adaptor=Local%20Search%20Engine&amp;isFrbr=true&amp;tab=default_tab&amp;query=any,contains,van%20cleve%20james%20problems%20from%20kant&amp;offset=0" TargetMode="External"/><Relationship Id="rId40" Type="http://schemas.openxmlformats.org/officeDocument/2006/relationships/hyperlink" Target="file:///C:\Users\cj683\Downloads\Marcia%20Baron%20(2002),%20&#8216;Acting%20from%20Duty&#8217;%20in" TargetMode="External"/><Relationship Id="rId45" Type="http://schemas.openxmlformats.org/officeDocument/2006/relationships/hyperlink" Target="https://philpapers.org/asearch.pl?pub=302" TargetMode="External"/><Relationship Id="rId5" Type="http://schemas.openxmlformats.org/officeDocument/2006/relationships/settings" Target="settings.xml"/><Relationship Id="rId15" Type="http://schemas.openxmlformats.org/officeDocument/2006/relationships/hyperlink" Target="https://www-cambridge-org.libproxy.york.ac.uk/core/services/aop-cambridge-core/content/view/50D1E6908F28B60B5568806A84292B20/9780511813306c7_p133-272_CBO.pdf/critique_of_practical_reason_1788.pdf" TargetMode="External"/><Relationship Id="rId23" Type="http://schemas.openxmlformats.org/officeDocument/2006/relationships/hyperlink" Target="https://yorsearch.york.ac.uk/primo-explore/fulldisplay?docid=44YORK_ALMA_DS51239580420001381&amp;context=L&amp;vid=44YORK-NUI&amp;lang=en_US&amp;search_scope=default_scope&amp;adaptor=Local%20Search%20Engine&amp;isFrbr=true&amp;tab=default_tab&amp;query=any,contains,The%20Bounds%20of%20Sense&amp;sortby=date&amp;facet=frbrgroupid,include,22126686&amp;offset=0" TargetMode="External"/><Relationship Id="rId28" Type="http://schemas.openxmlformats.org/officeDocument/2006/relationships/hyperlink" Target="https://yorsearch.york.ac.uk/primo-explore/fulldisplay?docid=44YORK_ALMA_DS51239580420001381&amp;context=L&amp;vid=44YORK-NUI&amp;lang=en_US&amp;search_scope=default_scope&amp;adaptor=Local%20Search%20Engine&amp;isFrbr=true&amp;tab=default_tab&amp;query=any,contains,The%20Bounds%20of%20Sense&amp;sortby=date&amp;facet=frbrgroupid,include,22126686&amp;offset=0" TargetMode="External"/><Relationship Id="rId36" Type="http://schemas.openxmlformats.org/officeDocument/2006/relationships/hyperlink" Target="https://yorsearch.york.ac.uk/primo-explore/fulldisplay?docid=44YORK_ALMA_DS51307084430001381&amp;context=L&amp;vid=44YORK-NUI&amp;lang=en_US&amp;search_scope=default_scope&amp;adaptor=Local%20Search%20Engine&amp;tab=default_tab&amp;query=any,contains,Gardner%20Kant%20and%20the%20Critique%20of%20Pure%20Reason&amp;offset=0" TargetMode="External"/><Relationship Id="rId49" Type="http://schemas.openxmlformats.org/officeDocument/2006/relationships/hyperlink" Target="https://archive.nyu.edu/bitstream/2451/34651/2/Velleman_Kantian_Ethics_Introduction.pdf" TargetMode="External"/><Relationship Id="rId10" Type="http://schemas.openxmlformats.org/officeDocument/2006/relationships/hyperlink" Target="https://yorsearch.york.ac.uk/primo-explore/fulldisplay?docid=44YORK_ALMA_DS51356138140001381&amp;context=L&amp;vid=44YORK-NUI&amp;lang=en_US&amp;search_scope=default_scope&amp;adaptor=Local%20Search%20Engine&amp;isFrbr=true&amp;tab=default_tab&amp;query=any,contains,Cambridge%20Critique%20of%20Pure%20Reason&amp;sortby=date&amp;facet=frbrgroupid,include,22204187&amp;offset=0" TargetMode="External"/><Relationship Id="rId19" Type="http://schemas.openxmlformats.org/officeDocument/2006/relationships/hyperlink" Target="https://oxford-universitypressscholarship-com.libproxy.york.ac.uk/view/10.1093/acprof:oso/9780199691531.001.0001/acprof-9780199691531" TargetMode="External"/><Relationship Id="rId31" Type="http://schemas.openxmlformats.org/officeDocument/2006/relationships/hyperlink" Target="https://yorsearch.york.ac.uk/primo-explore/fulldisplay?docid=44YORK_ALMA_DS51307084430001381&amp;context=L&amp;vid=44YORK-NUI&amp;lang=en_US&amp;search_scope=default_scope&amp;adaptor=Local%20Search%20Engine&amp;tab=default_tab&amp;query=any,contains,Gardner%20Kant%20and%20the%20Critique%20of%20Pure%20Reason&amp;offset=0" TargetMode="External"/><Relationship Id="rId44" Type="http://schemas.openxmlformats.org/officeDocument/2006/relationships/hyperlink" Target="https://www.jstor.org/stable/pdf/2265252.pdf"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hristopher.jay@york.ac.uk" TargetMode="External"/><Relationship Id="rId14" Type="http://schemas.openxmlformats.org/officeDocument/2006/relationships/hyperlink" Target="https://ereader.cambridge.org/wr/viewer.html?skipLastRead=true" TargetMode="External"/><Relationship Id="rId22" Type="http://schemas.openxmlformats.org/officeDocument/2006/relationships/hyperlink" Target="https://www-cambridge-org.libproxy.york.ac.uk/core/books/cambridge-companion-to-kant-and-modern-philosophy/0648DD16F3F3225B8F22FC9C920CEEF9" TargetMode="External"/><Relationship Id="rId27" Type="http://schemas.openxmlformats.org/officeDocument/2006/relationships/hyperlink" Target="https://plato.stanford.edu/entries/rationalism-empiricism/" TargetMode="External"/><Relationship Id="rId30" Type="http://schemas.openxmlformats.org/officeDocument/2006/relationships/hyperlink" Target="https://yorsearch.york.ac.uk/primo-explore/fulldisplay?docid=44YORK_ALMA_DS51307084430001381&amp;context=L&amp;vid=44YORK-NUI&amp;lang=en_US&amp;search_scope=default_scope&amp;adaptor=Local%20Search%20Engine&amp;tab=default_tab&amp;query=any,contains,Gardner%20Kant%20and%20the%20Critique%20of%20Pure%20Reason&amp;offset=0" TargetMode="External"/><Relationship Id="rId35" Type="http://schemas.openxmlformats.org/officeDocument/2006/relationships/hyperlink" Target="https://yorsearch.york.ac.uk/primo-explore/fulldisplay?docid=44YORK_ALMA_DS51239580420001381&amp;context=L&amp;vid=44YORK-NUI&amp;lang=en_US&amp;search_scope=default_scope&amp;adaptor=Local%20Search%20Engine&amp;isFrbr=true&amp;tab=default_tab&amp;query=any,contains,The%20Bounds%20of%20Sense&amp;sortby=date&amp;facet=frbrgroupid,include,22126686&amp;offset=0" TargetMode="External"/><Relationship Id="rId43" Type="http://schemas.openxmlformats.org/officeDocument/2006/relationships/hyperlink" Target="https://oxford-universitypressscholarship-com.libproxy.york.ac.uk/view/10.1093/acprof:oso/9780199685530.001.0001/acprof-9780199685530" TargetMode="External"/><Relationship Id="rId48" Type="http://schemas.openxmlformats.org/officeDocument/2006/relationships/hyperlink" Target="https://yorsearch.york.ac.uk/primo-explore/fulldisplay?docid=TN_cdi_askewsholts_vlebooks_9781139131469&amp;context=PC&amp;vid=44YORK-NUI&amp;lang=en_US&amp;search_scope=default_scope&amp;adaptor=primo_central_multiple_fe&amp;tab=default_tab&amp;query=any,contains,self%20to%20self%20selected%20essays%20,%20velleman%20james%20david"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www-cambridge-org.libproxy.york.ac.uk/core/services/aop-cambridge-core/content/view/F32990DBD3AAE061D0F3A87F9A5E649B/9780511813306c4_p37-108_CBO.pdf/groundwork_of_the_metaphysics_of_morals_1785.pdf" TargetMode="External"/><Relationship Id="rId17" Type="http://schemas.openxmlformats.org/officeDocument/2006/relationships/hyperlink" Target="https://ereader.cambridge.org/wr/viewer.html?skipLastRead=true" TargetMode="External"/><Relationship Id="rId25" Type="http://schemas.openxmlformats.org/officeDocument/2006/relationships/hyperlink" Target="https://www.bbc.co.uk/programmes/m000wlf4" TargetMode="External"/><Relationship Id="rId33" Type="http://schemas.openxmlformats.org/officeDocument/2006/relationships/hyperlink" Target="https://yorsearch.york.ac.uk/primo-explore/fulldisplay?docid=44YORK_ALMA_DS51307084430001381&amp;context=L&amp;vid=44YORK-NUI&amp;lang=en_US&amp;search_scope=default_scope&amp;adaptor=Local%20Search%20Engine&amp;tab=default_tab&amp;query=any,contains,Gardner%20Kant%20and%20the%20Critique%20of%20Pure%20Reason&amp;offset=0" TargetMode="External"/><Relationship Id="rId38" Type="http://schemas.openxmlformats.org/officeDocument/2006/relationships/hyperlink" Target="https://dash.harvard.edu/bitstream/handle/1/29429089/Korsgaard.Morality%20as%20Freedom.pdf?sequence=1" TargetMode="External"/><Relationship Id="rId46" Type="http://schemas.openxmlformats.org/officeDocument/2006/relationships/hyperlink" Target="http://www.scielo.org.co/pdf/eidos/n15/n15a05.pdf" TargetMode="External"/><Relationship Id="rId20" Type="http://schemas.openxmlformats.org/officeDocument/2006/relationships/hyperlink" Target="https://yorsearch.york.ac.uk/primo-explore/fulldisplay?docid=44YORK_ALMA_DS51307084430001381&amp;context=L&amp;vid=44YORK-NUI&amp;lang=en_US&amp;search_scope=default_scope&amp;adaptor=Local%20Search%20Engine&amp;tab=default_tab&amp;query=any,contains,Gardner%20Kant%20and%20the%20Critique%20of%20Pure%20Reason&amp;offset=0" TargetMode="External"/><Relationship Id="rId41" Type="http://schemas.openxmlformats.org/officeDocument/2006/relationships/hyperlink" Target="https://www-cambridge-org.libproxy.york.ac.uk/core/books/cambridge-companion-to-kant-and-modern-philosophy/0648DD16F3F3225B8F22FC9C920CEEF9"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2C75CE4-DC67-40D8-A399-95DE7B83CA2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6776</Words>
  <Characters>38629</Characters>
  <Application>Microsoft Office Word</Application>
  <DocSecurity>0</DocSecurity>
  <Lines>321</Lines>
  <Paragraphs>90</Paragraphs>
  <ScaleCrop>false</ScaleCrop>
  <Company/>
  <LinksUpToDate>false</LinksUpToDate>
  <CharactersWithSpaces>45315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Jay</dc:creator>
  <cp:lastModifiedBy>Christopher Jay</cp:lastModifiedBy>
  <cp:revision>2</cp:revision>
  <dcterms:created xsi:type="dcterms:W3CDTF">2025-07-25T17:40:00Z</dcterms:created>
  <dcterms:modified xsi:type="dcterms:W3CDTF">2025-07-25T17:40:00Z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7C87D5C88DBD47009590DBC24511AE81</vt:lpwstr>
  </property>
</Properties>
</file>