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77828" w:rsidRDefault="00D77828">
      <w:pPr>
        <w:rPr>
          <w:rFonts w:ascii="Palatino Linotype" w:eastAsia="Palatino Linotype" w:hAnsi="Palatino Linotype" w:cs="Palatino Linotype"/>
          <w:b/>
          <w:smallCaps/>
          <w:sz w:val="28"/>
          <w:szCs w:val="28"/>
        </w:rPr>
      </w:pPr>
    </w:p>
    <w:p w14:paraId="00000002" w14:textId="77777777" w:rsidR="00D77828" w:rsidRDefault="00DF5AA9">
      <w:pPr>
        <w:jc w:val="center"/>
        <w:rPr>
          <w:rFonts w:ascii="Palatino Linotype" w:eastAsia="Palatino Linotype" w:hAnsi="Palatino Linotype" w:cs="Palatino Linotype"/>
          <w:b/>
          <w:smallCaps/>
          <w:sz w:val="28"/>
          <w:szCs w:val="28"/>
        </w:rPr>
      </w:pPr>
      <w:r>
        <w:rPr>
          <w:rFonts w:ascii="Palatino Linotype" w:eastAsia="Palatino Linotype" w:hAnsi="Palatino Linotype" w:cs="Palatino Linotype"/>
          <w:b/>
          <w:smallCaps/>
          <w:sz w:val="28"/>
          <w:szCs w:val="28"/>
        </w:rPr>
        <w:t>History of Ethics</w:t>
      </w:r>
    </w:p>
    <w:p w14:paraId="00000003" w14:textId="77777777" w:rsidR="00D77828" w:rsidRDefault="00DF5AA9">
      <w:pPr>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Autumn 2018 (2</w:t>
      </w:r>
      <w:r>
        <w:rPr>
          <w:rFonts w:ascii="Palatino Linotype" w:eastAsia="Palatino Linotype" w:hAnsi="Palatino Linotype" w:cs="Palatino Linotype"/>
          <w:b/>
          <w:sz w:val="24"/>
          <w:szCs w:val="24"/>
          <w:vertAlign w:val="superscript"/>
        </w:rPr>
        <w:t>nd</w:t>
      </w:r>
      <w:r>
        <w:rPr>
          <w:rFonts w:ascii="Palatino Linotype" w:eastAsia="Palatino Linotype" w:hAnsi="Palatino Linotype" w:cs="Palatino Linotype"/>
          <w:b/>
          <w:sz w:val="24"/>
          <w:szCs w:val="24"/>
        </w:rPr>
        <w:t xml:space="preserve"> Year Key Ideas)</w:t>
      </w:r>
    </w:p>
    <w:p w14:paraId="00000004" w14:textId="77777777" w:rsidR="00D77828" w:rsidRDefault="00DF5AA9">
      <w:pPr>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Module Outline</w:t>
      </w:r>
    </w:p>
    <w:p w14:paraId="00000005" w14:textId="77777777" w:rsidR="00D77828" w:rsidRDefault="00D77828">
      <w:pPr>
        <w:rPr>
          <w:rFonts w:ascii="Palatino Linotype" w:eastAsia="Palatino Linotype" w:hAnsi="Palatino Linotype" w:cs="Palatino Linotype"/>
          <w:sz w:val="24"/>
          <w:szCs w:val="24"/>
        </w:rPr>
      </w:pPr>
    </w:p>
    <w:p w14:paraId="00000006" w14:textId="77777777" w:rsidR="00D77828" w:rsidRDefault="00DF5AA9">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Module Lecturer: Christopher Jay</w:t>
      </w:r>
    </w:p>
    <w:p w14:paraId="00000007" w14:textId="77777777" w:rsidR="00D77828" w:rsidRDefault="00DF5AA9">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Email: </w:t>
      </w:r>
      <w:hyperlink r:id="rId7">
        <w:r>
          <w:rPr>
            <w:rFonts w:ascii="Palatino Linotype" w:eastAsia="Palatino Linotype" w:hAnsi="Palatino Linotype" w:cs="Palatino Linotype"/>
            <w:color w:val="0563C1"/>
            <w:sz w:val="24"/>
            <w:szCs w:val="24"/>
            <w:u w:val="single"/>
          </w:rPr>
          <w:t>christopher.jay@york.ac.uk</w:t>
        </w:r>
      </w:hyperlink>
    </w:p>
    <w:p w14:paraId="00000008" w14:textId="77777777" w:rsidR="00D77828" w:rsidRDefault="00D77828">
      <w:pPr>
        <w:jc w:val="center"/>
        <w:rPr>
          <w:rFonts w:ascii="Palatino Linotype" w:eastAsia="Palatino Linotype" w:hAnsi="Palatino Linotype" w:cs="Palatino Linotype"/>
        </w:rPr>
      </w:pPr>
    </w:p>
    <w:p w14:paraId="00000009" w14:textId="77777777" w:rsidR="00D77828" w:rsidRDefault="00DF5AA9">
      <w:pPr>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u w:val="single"/>
        </w:rPr>
        <w:t>Schedule</w:t>
      </w:r>
    </w:p>
    <w:p w14:paraId="0000000A" w14:textId="77777777" w:rsidR="00D77828" w:rsidRDefault="00DF5AA9">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Lectures: Wednesdays, 11am-1pm (D/L/036)</w:t>
      </w:r>
    </w:p>
    <w:p w14:paraId="0000000B" w14:textId="77777777" w:rsidR="00D77828" w:rsidRDefault="00DF5AA9">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Seminars: check timetable</w:t>
      </w:r>
    </w:p>
    <w:p w14:paraId="0000000C" w14:textId="77777777" w:rsidR="00D77828" w:rsidRDefault="00DF5AA9">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Office Hours: Thursdays, 12-2pm (Sally Baldwin, A/111)</w:t>
      </w:r>
    </w:p>
    <w:p w14:paraId="0000000D" w14:textId="77777777" w:rsidR="00D77828" w:rsidRDefault="00D77828">
      <w:pPr>
        <w:rPr>
          <w:rFonts w:ascii="Palatino Linotype" w:eastAsia="Palatino Linotype" w:hAnsi="Palatino Linotype" w:cs="Palatino Linotype"/>
          <w:sz w:val="24"/>
          <w:szCs w:val="24"/>
        </w:rPr>
      </w:pPr>
    </w:p>
    <w:p w14:paraId="0000000E" w14:textId="77777777" w:rsidR="00D77828" w:rsidRDefault="00DF5AA9">
      <w:pPr>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u w:val="single"/>
        </w:rPr>
        <w:t>Assessment</w:t>
      </w:r>
    </w:p>
    <w:p w14:paraId="0000000F" w14:textId="77777777" w:rsidR="00D77828" w:rsidRDefault="00DF5AA9">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Short Answer Exam (30%)</w:t>
      </w:r>
    </w:p>
    <w:p w14:paraId="00000010" w14:textId="77777777" w:rsidR="00D77828" w:rsidRDefault="00DF5AA9">
      <w:pPr>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Essay (70%)</w:t>
      </w:r>
    </w:p>
    <w:p w14:paraId="00000011" w14:textId="77777777" w:rsidR="00D77828" w:rsidRDefault="00D77828">
      <w:pPr>
        <w:rPr>
          <w:rFonts w:ascii="Palatino Linotype" w:eastAsia="Palatino Linotype" w:hAnsi="Palatino Linotype" w:cs="Palatino Linotype"/>
          <w:sz w:val="24"/>
          <w:szCs w:val="24"/>
        </w:rPr>
      </w:pPr>
    </w:p>
    <w:p w14:paraId="00000012" w14:textId="77777777" w:rsidR="00D77828" w:rsidRDefault="00DF5AA9">
      <w:pPr>
        <w:rPr>
          <w:rFonts w:ascii="Palatino Linotype" w:eastAsia="Palatino Linotype" w:hAnsi="Palatino Linotype" w:cs="Palatino Linotype"/>
          <w:b/>
          <w:sz w:val="24"/>
          <w:szCs w:val="24"/>
          <w:u w:val="single"/>
        </w:rPr>
      </w:pPr>
      <w:r>
        <w:rPr>
          <w:rFonts w:ascii="Palatino Linotype" w:eastAsia="Palatino Linotype" w:hAnsi="Palatino Linotype" w:cs="Palatino Linotype"/>
          <w:b/>
          <w:sz w:val="24"/>
          <w:szCs w:val="24"/>
          <w:u w:val="single"/>
        </w:rPr>
        <w:t>Introduction</w:t>
      </w:r>
    </w:p>
    <w:p w14:paraId="00000013" w14:textId="77777777" w:rsidR="00D77828" w:rsidRDefault="00DF5AA9">
      <w:pPr>
        <w:pBdr>
          <w:top w:val="nil"/>
          <w:left w:val="nil"/>
          <w:bottom w:val="nil"/>
          <w:right w:val="nil"/>
          <w:between w:val="nil"/>
        </w:pBdr>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This module is designed to introduce you to some debates about morality as they have played out in the history of western philosophy, to introduce you to the writings of some of the key figures in that tradition, and to help you to develop your abilities to compare and contrast different views and arguments, and to read texts closely and carefully. Being a philosophy module, though, it is not just about the history of ideas: we will be trying to decide what the right things to say about the topics we are di</w:t>
      </w:r>
      <w:r>
        <w:rPr>
          <w:rFonts w:ascii="Palatino Linotype" w:eastAsia="Palatino Linotype" w:hAnsi="Palatino Linotype" w:cs="Palatino Linotype"/>
          <w:color w:val="000000"/>
          <w:sz w:val="24"/>
          <w:szCs w:val="24"/>
        </w:rPr>
        <w:t xml:space="preserve">scussing might be, too. So we should be critical of, as well as sympathetic in our reading of, our sources. </w:t>
      </w:r>
    </w:p>
    <w:p w14:paraId="00000014" w14:textId="77777777" w:rsidR="00D77828" w:rsidRDefault="00DF5AA9">
      <w:pPr>
        <w:pBdr>
          <w:top w:val="nil"/>
          <w:left w:val="nil"/>
          <w:bottom w:val="nil"/>
          <w:right w:val="nil"/>
          <w:between w:val="nil"/>
        </w:pBdr>
        <w:ind w:firstLine="720"/>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Some of the figures we’ll come across in this module are now famous, such as Plato, Aristotle, Aquinas and Kant. Others are less famous now, but were, in their days and afterwards, amongst the most influential of thinkers, such as Bernard Mandeville.</w:t>
      </w:r>
      <w:r>
        <w:rPr>
          <w:rFonts w:ascii="Palatino Linotype" w:eastAsia="Palatino Linotype" w:hAnsi="Palatino Linotype" w:cs="Palatino Linotype"/>
          <w:color w:val="000000"/>
          <w:sz w:val="24"/>
          <w:szCs w:val="24"/>
          <w:vertAlign w:val="superscript"/>
        </w:rPr>
        <w:footnoteReference w:id="1"/>
      </w:r>
      <w:r>
        <w:rPr>
          <w:rFonts w:ascii="Palatino Linotype" w:eastAsia="Palatino Linotype" w:hAnsi="Palatino Linotype" w:cs="Palatino Linotype"/>
          <w:color w:val="000000"/>
          <w:sz w:val="24"/>
          <w:szCs w:val="24"/>
        </w:rPr>
        <w:t xml:space="preserve"> Others are now more or less entirely obscure, such as the medieval ‘scholastic’ philosophers William of Aurreux and Godfrey of Fontaines – philosophers working in the same intellectual tradition as Aquinas, but whose contributions to philosophy have been almost entirely eclipsed by Aquinas’s (even though in some cases Aquinas’s arguments are inherited from or are only minor variants of the arguments of those other philosophers).</w:t>
      </w:r>
      <w:r>
        <w:rPr>
          <w:rFonts w:ascii="Palatino Linotype" w:eastAsia="Palatino Linotype" w:hAnsi="Palatino Linotype" w:cs="Palatino Linotype"/>
          <w:color w:val="000000"/>
          <w:sz w:val="24"/>
          <w:szCs w:val="24"/>
          <w:vertAlign w:val="superscript"/>
        </w:rPr>
        <w:footnoteReference w:id="2"/>
      </w:r>
      <w:r>
        <w:rPr>
          <w:rFonts w:ascii="Palatino Linotype" w:eastAsia="Palatino Linotype" w:hAnsi="Palatino Linotype" w:cs="Palatino Linotype"/>
          <w:color w:val="000000"/>
          <w:sz w:val="24"/>
          <w:szCs w:val="24"/>
        </w:rPr>
        <w:t xml:space="preserve"> We should treat the famous </w:t>
      </w:r>
      <w:r>
        <w:rPr>
          <w:rFonts w:ascii="Palatino Linotype" w:eastAsia="Palatino Linotype" w:hAnsi="Palatino Linotype" w:cs="Palatino Linotype"/>
          <w:color w:val="000000"/>
          <w:sz w:val="24"/>
          <w:szCs w:val="24"/>
        </w:rPr>
        <w:lastRenderedPageBreak/>
        <w:t xml:space="preserve">and the obscure in just the same way though: respectful enough to attempt charitable and plausible reconstructions of their views and arguments; but critical enough to subject their claims and arguments to careful and rigorous scrutiny. </w:t>
      </w:r>
    </w:p>
    <w:p w14:paraId="00000015" w14:textId="77777777" w:rsidR="00D77828" w:rsidRDefault="00D77828">
      <w:pPr>
        <w:pBdr>
          <w:top w:val="nil"/>
          <w:left w:val="nil"/>
          <w:bottom w:val="nil"/>
          <w:right w:val="nil"/>
          <w:between w:val="nil"/>
        </w:pBdr>
        <w:rPr>
          <w:rFonts w:ascii="Palatino Linotype" w:eastAsia="Palatino Linotype" w:hAnsi="Palatino Linotype" w:cs="Palatino Linotype"/>
          <w:color w:val="000000"/>
          <w:sz w:val="24"/>
          <w:szCs w:val="24"/>
        </w:rPr>
      </w:pPr>
    </w:p>
    <w:p w14:paraId="00000016" w14:textId="77777777" w:rsidR="00D77828" w:rsidRDefault="00DF5AA9">
      <w:pPr>
        <w:pBdr>
          <w:top w:val="nil"/>
          <w:left w:val="nil"/>
          <w:bottom w:val="nil"/>
          <w:right w:val="nil"/>
          <w:between w:val="nil"/>
        </w:pBdr>
        <w:rPr>
          <w:rFonts w:ascii="Palatino Linotype" w:eastAsia="Palatino Linotype" w:hAnsi="Palatino Linotype" w:cs="Palatino Linotype"/>
          <w:b/>
          <w:color w:val="000000"/>
          <w:sz w:val="24"/>
          <w:szCs w:val="24"/>
          <w:u w:val="single"/>
        </w:rPr>
      </w:pPr>
      <w:r>
        <w:rPr>
          <w:rFonts w:ascii="Palatino Linotype" w:eastAsia="Palatino Linotype" w:hAnsi="Palatino Linotype" w:cs="Palatino Linotype"/>
          <w:b/>
          <w:color w:val="000000"/>
          <w:sz w:val="24"/>
          <w:szCs w:val="24"/>
          <w:u w:val="single"/>
        </w:rPr>
        <w:t>Module Content: What we are studying, and why</w:t>
      </w:r>
    </w:p>
    <w:p w14:paraId="00000017" w14:textId="77777777" w:rsidR="00D77828" w:rsidRDefault="00D77828">
      <w:pPr>
        <w:pBdr>
          <w:top w:val="nil"/>
          <w:left w:val="nil"/>
          <w:bottom w:val="nil"/>
          <w:right w:val="nil"/>
          <w:between w:val="nil"/>
        </w:pBdr>
        <w:rPr>
          <w:rFonts w:ascii="Palatino Linotype" w:eastAsia="Palatino Linotype" w:hAnsi="Palatino Linotype" w:cs="Palatino Linotype"/>
          <w:color w:val="242424"/>
          <w:sz w:val="24"/>
          <w:szCs w:val="24"/>
        </w:rPr>
      </w:pPr>
    </w:p>
    <w:p w14:paraId="00000018"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 xml:space="preserve">The module is split into two halves. The first half is concerned with a range of particular topics in moral philosophy as formulated and discussed in some ancient, medieval and early modern texts. So, its focus is synoptic, ranging across a variety of periods and authors to uncover various views on those topics. In this it contrasts with the purpose of the second half of the module, which consists of a careful study of Kant’s </w:t>
      </w:r>
      <w:r>
        <w:rPr>
          <w:rFonts w:ascii="Palatino Linotype" w:eastAsia="Palatino Linotype" w:hAnsi="Palatino Linotype" w:cs="Palatino Linotype"/>
          <w:i/>
          <w:color w:val="242424"/>
          <w:sz w:val="24"/>
          <w:szCs w:val="24"/>
        </w:rPr>
        <w:t>Groundwork for the Metaphysics of Morals</w:t>
      </w:r>
      <w:r>
        <w:rPr>
          <w:rFonts w:ascii="Palatino Linotype" w:eastAsia="Palatino Linotype" w:hAnsi="Palatino Linotype" w:cs="Palatino Linotype"/>
          <w:color w:val="242424"/>
          <w:sz w:val="24"/>
          <w:szCs w:val="24"/>
        </w:rPr>
        <w:t xml:space="preserve">. In both parts of the module we will, of course, engage critically with the views and argument we find, discussing what our own ideas are about the topics our authors discuss. </w:t>
      </w:r>
    </w:p>
    <w:p w14:paraId="00000019" w14:textId="77777777" w:rsidR="00D77828" w:rsidRDefault="00DF5AA9">
      <w:pPr>
        <w:pBdr>
          <w:top w:val="nil"/>
          <w:left w:val="nil"/>
          <w:bottom w:val="nil"/>
          <w:right w:val="nil"/>
          <w:between w:val="nil"/>
        </w:pBdr>
        <w:ind w:firstLine="720"/>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For the first part of the module I have deliberately chosen a mixture of topics which are still very much live issues in moral philosophy (the relation between morality and self-interest) and topics which might strike us as rather out of date (the sin of usury, which is lending money at interest</w:t>
      </w:r>
      <w:r>
        <w:rPr>
          <w:rFonts w:ascii="Palatino Linotype" w:eastAsia="Palatino Linotype" w:hAnsi="Palatino Linotype" w:cs="Palatino Linotype"/>
          <w:color w:val="242424"/>
          <w:sz w:val="24"/>
          <w:szCs w:val="24"/>
          <w:vertAlign w:val="superscript"/>
        </w:rPr>
        <w:footnoteReference w:id="3"/>
      </w:r>
      <w:r>
        <w:rPr>
          <w:rFonts w:ascii="Palatino Linotype" w:eastAsia="Palatino Linotype" w:hAnsi="Palatino Linotype" w:cs="Palatino Linotype"/>
          <w:color w:val="242424"/>
          <w:sz w:val="24"/>
          <w:szCs w:val="24"/>
        </w:rPr>
        <w:t xml:space="preserve">). That is because I want to highlight two different reasons for engaging in a study of the history of ethics. </w:t>
      </w:r>
    </w:p>
    <w:p w14:paraId="0000001A" w14:textId="77777777" w:rsidR="00D77828" w:rsidRDefault="00DF5AA9">
      <w:pPr>
        <w:pBdr>
          <w:top w:val="nil"/>
          <w:left w:val="nil"/>
          <w:bottom w:val="nil"/>
          <w:right w:val="nil"/>
          <w:between w:val="nil"/>
        </w:pBdr>
        <w:ind w:firstLine="720"/>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Firstly, ideas from the past – which in many cases have been largely forgotten – can shed light on issues we are very much concerned with now, so studying the history of ethics can be a way of helping us to think more clearly. My view is that there is such a thing as progress in philosophy (bad ideas are revealed to be bad, good arguments show us what certain views commit us to etc.), but often – in academic philosophy and in the world at large – ideas are left behind or come to be widely rejected not becau</w:t>
      </w:r>
      <w:r>
        <w:rPr>
          <w:rFonts w:ascii="Palatino Linotype" w:eastAsia="Palatino Linotype" w:hAnsi="Palatino Linotype" w:cs="Palatino Linotype"/>
          <w:color w:val="242424"/>
          <w:sz w:val="24"/>
          <w:szCs w:val="24"/>
        </w:rPr>
        <w:t>se they have been shown to be false, or otherwise bad, but because of intellectual or cultural fashion. Nietzsche took great pride in being ‘untimely’, by which he meant that he wanted to think in a way which was unfashionable, to overcome the prejudices of his own times, and untimeliness is perhaps something we can also benefit from.</w:t>
      </w:r>
      <w:r>
        <w:rPr>
          <w:rFonts w:ascii="Palatino Linotype" w:eastAsia="Palatino Linotype" w:hAnsi="Palatino Linotype" w:cs="Palatino Linotype"/>
          <w:color w:val="242424"/>
          <w:sz w:val="24"/>
          <w:szCs w:val="24"/>
          <w:vertAlign w:val="superscript"/>
        </w:rPr>
        <w:footnoteReference w:id="4"/>
      </w:r>
    </w:p>
    <w:p w14:paraId="0000001B" w14:textId="77777777" w:rsidR="00D77828" w:rsidRDefault="00DF5AA9">
      <w:pPr>
        <w:pBdr>
          <w:top w:val="nil"/>
          <w:left w:val="nil"/>
          <w:bottom w:val="nil"/>
          <w:right w:val="nil"/>
          <w:between w:val="nil"/>
        </w:pBdr>
        <w:ind w:firstLine="720"/>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 xml:space="preserve">A second reason to study the history of ethics is in some ways the opposite of the first: far from shedding light on things which we are trying to think clearly about ourselves, some debates in the history of ethics reveal to us the extent to which </w:t>
      </w:r>
      <w:r>
        <w:rPr>
          <w:rFonts w:ascii="Palatino Linotype" w:eastAsia="Palatino Linotype" w:hAnsi="Palatino Linotype" w:cs="Palatino Linotype"/>
          <w:color w:val="242424"/>
          <w:sz w:val="24"/>
          <w:szCs w:val="24"/>
        </w:rPr>
        <w:lastRenderedPageBreak/>
        <w:t xml:space="preserve">people in the past were concerned with things we are not much, or at all, troubled by. In some cases, this is because the problems they were struggling with have been solved. In others, it is because they are problems which arise out of a set of assumptions or a way of life which we do not share. But whatever explains the fact that some debates of the past are ‘dead’ to us, it can be interesting and rewarding, I think, to appreciate at first hand, by reading their texts and thinking through and criticising </w:t>
      </w:r>
      <w:r>
        <w:rPr>
          <w:rFonts w:ascii="Palatino Linotype" w:eastAsia="Palatino Linotype" w:hAnsi="Palatino Linotype" w:cs="Palatino Linotype"/>
          <w:color w:val="242424"/>
          <w:sz w:val="24"/>
          <w:szCs w:val="24"/>
        </w:rPr>
        <w:t xml:space="preserve">their arguments, the ideas of people who are different from us. I think the study of the history of ideas can be every bit as mind-broadening as travel and meeting contemporaries of ours from different cultures can be, so I hope that you find our adventures into moral philosophy’s past intellectually exhilarating. </w:t>
      </w:r>
    </w:p>
    <w:p w14:paraId="0000001C" w14:textId="77777777" w:rsidR="00D77828" w:rsidRDefault="00DF5AA9">
      <w:pPr>
        <w:pBdr>
          <w:top w:val="nil"/>
          <w:left w:val="nil"/>
          <w:bottom w:val="nil"/>
          <w:right w:val="nil"/>
          <w:between w:val="nil"/>
        </w:pBdr>
        <w:ind w:firstLine="720"/>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 xml:space="preserve">Our study of Kant in the second part of the module will be more focussed on sustained engagement with a particular text, namely the </w:t>
      </w:r>
      <w:r>
        <w:rPr>
          <w:rFonts w:ascii="Palatino Linotype" w:eastAsia="Palatino Linotype" w:hAnsi="Palatino Linotype" w:cs="Palatino Linotype"/>
          <w:i/>
          <w:color w:val="242424"/>
          <w:sz w:val="24"/>
          <w:szCs w:val="24"/>
        </w:rPr>
        <w:t>Groundwork for the Metaphysics of Morals</w:t>
      </w:r>
      <w:r>
        <w:rPr>
          <w:rFonts w:ascii="Palatino Linotype" w:eastAsia="Palatino Linotype" w:hAnsi="Palatino Linotype" w:cs="Palatino Linotype"/>
          <w:color w:val="242424"/>
          <w:sz w:val="24"/>
          <w:szCs w:val="24"/>
        </w:rPr>
        <w:t xml:space="preserve"> (which is </w:t>
      </w:r>
      <w:r>
        <w:rPr>
          <w:rFonts w:ascii="Palatino Linotype" w:eastAsia="Palatino Linotype" w:hAnsi="Palatino Linotype" w:cs="Palatino Linotype"/>
          <w:i/>
          <w:color w:val="242424"/>
          <w:sz w:val="24"/>
          <w:szCs w:val="24"/>
        </w:rPr>
        <w:t>not</w:t>
      </w:r>
      <w:r>
        <w:rPr>
          <w:rFonts w:ascii="Palatino Linotype" w:eastAsia="Palatino Linotype" w:hAnsi="Palatino Linotype" w:cs="Palatino Linotype"/>
          <w:color w:val="242424"/>
          <w:sz w:val="24"/>
          <w:szCs w:val="24"/>
        </w:rPr>
        <w:t xml:space="preserve"> the same book as the </w:t>
      </w:r>
      <w:r>
        <w:rPr>
          <w:rFonts w:ascii="Palatino Linotype" w:eastAsia="Palatino Linotype" w:hAnsi="Palatino Linotype" w:cs="Palatino Linotype"/>
          <w:i/>
          <w:color w:val="242424"/>
          <w:sz w:val="24"/>
          <w:szCs w:val="24"/>
        </w:rPr>
        <w:t>Metaphysics of Morals</w:t>
      </w:r>
      <w:r>
        <w:rPr>
          <w:rFonts w:ascii="Palatino Linotype" w:eastAsia="Palatino Linotype" w:hAnsi="Palatino Linotype" w:cs="Palatino Linotype"/>
          <w:color w:val="242424"/>
          <w:sz w:val="24"/>
          <w:szCs w:val="24"/>
        </w:rPr>
        <w:t xml:space="preserve">, which is another book by Kant – our text is supposed to be the </w:t>
      </w:r>
      <w:r>
        <w:rPr>
          <w:rFonts w:ascii="Palatino Linotype" w:eastAsia="Palatino Linotype" w:hAnsi="Palatino Linotype" w:cs="Palatino Linotype"/>
          <w:i/>
          <w:color w:val="242424"/>
          <w:sz w:val="24"/>
          <w:szCs w:val="24"/>
        </w:rPr>
        <w:t>groundwork</w:t>
      </w:r>
      <w:r>
        <w:rPr>
          <w:rFonts w:ascii="Palatino Linotype" w:eastAsia="Palatino Linotype" w:hAnsi="Palatino Linotype" w:cs="Palatino Linotype"/>
          <w:color w:val="242424"/>
          <w:sz w:val="24"/>
          <w:szCs w:val="24"/>
        </w:rPr>
        <w:t xml:space="preserve"> or preparation for that later work, as its name suggests). That text has been chosen for a number of reasons. First, the </w:t>
      </w:r>
      <w:r>
        <w:rPr>
          <w:rFonts w:ascii="Palatino Linotype" w:eastAsia="Palatino Linotype" w:hAnsi="Palatino Linotype" w:cs="Palatino Linotype"/>
          <w:i/>
          <w:color w:val="242424"/>
          <w:sz w:val="24"/>
          <w:szCs w:val="24"/>
        </w:rPr>
        <w:t>Groundwork</w:t>
      </w:r>
      <w:r>
        <w:rPr>
          <w:rFonts w:ascii="Palatino Linotype" w:eastAsia="Palatino Linotype" w:hAnsi="Palatino Linotype" w:cs="Palatino Linotype"/>
          <w:color w:val="242424"/>
          <w:sz w:val="24"/>
          <w:szCs w:val="24"/>
        </w:rPr>
        <w:t xml:space="preserve"> is Kant’s most well-known and often referred to work of moral philosophy, so familiarity with it is important for following much of what is said about Kantian ethics. Second, it is a quite short work, so we </w:t>
      </w:r>
      <w:r>
        <w:rPr>
          <w:rFonts w:ascii="Palatino Linotype" w:eastAsia="Palatino Linotype" w:hAnsi="Palatino Linotype" w:cs="Palatino Linotype"/>
          <w:color w:val="242424"/>
          <w:sz w:val="24"/>
          <w:szCs w:val="24"/>
        </w:rPr>
        <w:t xml:space="preserve">can hope to get through it all in our time together (although it is </w:t>
      </w:r>
      <w:r>
        <w:rPr>
          <w:rFonts w:ascii="Palatino Linotype" w:eastAsia="Palatino Linotype" w:hAnsi="Palatino Linotype" w:cs="Palatino Linotype"/>
          <w:i/>
          <w:color w:val="242424"/>
          <w:sz w:val="24"/>
          <w:szCs w:val="24"/>
        </w:rPr>
        <w:t>very</w:t>
      </w:r>
      <w:r>
        <w:rPr>
          <w:rFonts w:ascii="Palatino Linotype" w:eastAsia="Palatino Linotype" w:hAnsi="Palatino Linotype" w:cs="Palatino Linotype"/>
          <w:color w:val="242424"/>
          <w:sz w:val="24"/>
          <w:szCs w:val="24"/>
        </w:rPr>
        <w:t xml:space="preserve"> dense, and we might not have the chance to discuss Section 3, depending upon how things pan out). Third, it is, as its name suggests, in some ways the </w:t>
      </w:r>
      <w:r>
        <w:rPr>
          <w:rFonts w:ascii="Palatino Linotype" w:eastAsia="Palatino Linotype" w:hAnsi="Palatino Linotype" w:cs="Palatino Linotype"/>
          <w:i/>
          <w:color w:val="242424"/>
          <w:sz w:val="24"/>
          <w:szCs w:val="24"/>
        </w:rPr>
        <w:t>foundation</w:t>
      </w:r>
      <w:r>
        <w:rPr>
          <w:rFonts w:ascii="Palatino Linotype" w:eastAsia="Palatino Linotype" w:hAnsi="Palatino Linotype" w:cs="Palatino Linotype"/>
          <w:color w:val="242424"/>
          <w:sz w:val="24"/>
          <w:szCs w:val="24"/>
        </w:rPr>
        <w:t xml:space="preserve"> of most of Kant’s moral philosophy, which seems like a sensible place to start. </w:t>
      </w:r>
    </w:p>
    <w:p w14:paraId="0000001D" w14:textId="77777777" w:rsidR="00D77828" w:rsidRDefault="00DF5AA9">
      <w:pPr>
        <w:pBdr>
          <w:top w:val="nil"/>
          <w:left w:val="nil"/>
          <w:bottom w:val="nil"/>
          <w:right w:val="nil"/>
          <w:between w:val="nil"/>
        </w:pBdr>
        <w:ind w:firstLine="720"/>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 xml:space="preserve">But even though I think these reasons are sufficient to justify taking the </w:t>
      </w:r>
      <w:r>
        <w:rPr>
          <w:rFonts w:ascii="Palatino Linotype" w:eastAsia="Palatino Linotype" w:hAnsi="Palatino Linotype" w:cs="Palatino Linotype"/>
          <w:i/>
          <w:color w:val="242424"/>
          <w:sz w:val="24"/>
          <w:szCs w:val="24"/>
        </w:rPr>
        <w:t>Groundwork</w:t>
      </w:r>
      <w:r>
        <w:rPr>
          <w:rFonts w:ascii="Palatino Linotype" w:eastAsia="Palatino Linotype" w:hAnsi="Palatino Linotype" w:cs="Palatino Linotype"/>
          <w:color w:val="242424"/>
          <w:sz w:val="24"/>
          <w:szCs w:val="24"/>
        </w:rPr>
        <w:t xml:space="preserve"> as our text, it is important to remember that the </w:t>
      </w:r>
      <w:r>
        <w:rPr>
          <w:rFonts w:ascii="Palatino Linotype" w:eastAsia="Palatino Linotype" w:hAnsi="Palatino Linotype" w:cs="Palatino Linotype"/>
          <w:i/>
          <w:color w:val="242424"/>
          <w:sz w:val="24"/>
          <w:szCs w:val="24"/>
        </w:rPr>
        <w:t>Groundwork</w:t>
      </w:r>
      <w:r>
        <w:rPr>
          <w:rFonts w:ascii="Palatino Linotype" w:eastAsia="Palatino Linotype" w:hAnsi="Palatino Linotype" w:cs="Palatino Linotype"/>
          <w:color w:val="242424"/>
          <w:sz w:val="24"/>
          <w:szCs w:val="24"/>
        </w:rPr>
        <w:t xml:space="preserve"> is not the </w:t>
      </w:r>
      <w:r>
        <w:rPr>
          <w:rFonts w:ascii="Palatino Linotype" w:eastAsia="Palatino Linotype" w:hAnsi="Palatino Linotype" w:cs="Palatino Linotype"/>
          <w:i/>
          <w:color w:val="242424"/>
          <w:sz w:val="24"/>
          <w:szCs w:val="24"/>
        </w:rPr>
        <w:t>whole</w:t>
      </w:r>
      <w:r>
        <w:rPr>
          <w:rFonts w:ascii="Palatino Linotype" w:eastAsia="Palatino Linotype" w:hAnsi="Palatino Linotype" w:cs="Palatino Linotype"/>
          <w:color w:val="242424"/>
          <w:sz w:val="24"/>
          <w:szCs w:val="24"/>
        </w:rPr>
        <w:t xml:space="preserve"> of Kant’s moral philosophy, and in fact it doesn’t even touch upon several of the most important ideas which Kant’s moral philosophy appeals to elsewhere.</w:t>
      </w:r>
      <w:r>
        <w:rPr>
          <w:rFonts w:ascii="Palatino Linotype" w:eastAsia="Palatino Linotype" w:hAnsi="Palatino Linotype" w:cs="Palatino Linotype"/>
          <w:color w:val="242424"/>
          <w:sz w:val="24"/>
          <w:szCs w:val="24"/>
          <w:vertAlign w:val="superscript"/>
        </w:rPr>
        <w:footnoteReference w:id="5"/>
      </w:r>
      <w:r>
        <w:rPr>
          <w:rFonts w:ascii="Palatino Linotype" w:eastAsia="Palatino Linotype" w:hAnsi="Palatino Linotype" w:cs="Palatino Linotype"/>
          <w:color w:val="242424"/>
          <w:sz w:val="24"/>
          <w:szCs w:val="24"/>
        </w:rPr>
        <w:t xml:space="preserve"> In the lectures, and probably in the course of our seminar (and more informal) discussions, I will try to point out some of the cases in which what Kant says elsewhere qualifies, or contradicts, or sheds light upon what is going on in the </w:t>
      </w:r>
      <w:r>
        <w:rPr>
          <w:rFonts w:ascii="Palatino Linotype" w:eastAsia="Palatino Linotype" w:hAnsi="Palatino Linotype" w:cs="Palatino Linotype"/>
          <w:i/>
          <w:color w:val="242424"/>
          <w:sz w:val="24"/>
          <w:szCs w:val="24"/>
        </w:rPr>
        <w:t>Groundwork</w:t>
      </w:r>
      <w:r>
        <w:rPr>
          <w:rFonts w:ascii="Palatino Linotype" w:eastAsia="Palatino Linotype" w:hAnsi="Palatino Linotype" w:cs="Palatino Linotype"/>
          <w:color w:val="242424"/>
          <w:sz w:val="24"/>
          <w:szCs w:val="24"/>
        </w:rPr>
        <w:t xml:space="preserve">; but some important ideas which are not touched upon in that text will have to be left aside. One general thing to bear in mind is that because the </w:t>
      </w:r>
      <w:r>
        <w:rPr>
          <w:rFonts w:ascii="Palatino Linotype" w:eastAsia="Palatino Linotype" w:hAnsi="Palatino Linotype" w:cs="Palatino Linotype"/>
          <w:i/>
          <w:color w:val="242424"/>
          <w:sz w:val="24"/>
          <w:szCs w:val="24"/>
        </w:rPr>
        <w:t>Groundwork</w:t>
      </w:r>
      <w:r>
        <w:rPr>
          <w:rFonts w:ascii="Palatino Linotype" w:eastAsia="Palatino Linotype" w:hAnsi="Palatino Linotype" w:cs="Palatino Linotype"/>
          <w:color w:val="242424"/>
          <w:sz w:val="24"/>
          <w:szCs w:val="24"/>
        </w:rPr>
        <w:t xml:space="preserve"> is not all of what Kant has to say about ethics, and since it is designed to play a particular (founda</w:t>
      </w:r>
      <w:r>
        <w:rPr>
          <w:rFonts w:ascii="Palatino Linotype" w:eastAsia="Palatino Linotype" w:hAnsi="Palatino Linotype" w:cs="Palatino Linotype"/>
          <w:color w:val="242424"/>
          <w:sz w:val="24"/>
          <w:szCs w:val="24"/>
        </w:rPr>
        <w:t xml:space="preserve">tional, theoretical underpinning) role in his ethical ‘system’, we should be cautious: Kant will emphasise things here which are less prominent in his moral philosophy taken overall, so we should not assume (as many of his critics do) that he fetishizes the things he devotes most space to in this work; and we should not assume (as, again, many of his critics do) that themes which are not discussed here are ignored by Kant. </w:t>
      </w:r>
    </w:p>
    <w:p w14:paraId="0000001E" w14:textId="77777777" w:rsidR="00D77828" w:rsidRDefault="00DF5AA9">
      <w:pPr>
        <w:pBdr>
          <w:top w:val="nil"/>
          <w:left w:val="nil"/>
          <w:bottom w:val="nil"/>
          <w:right w:val="nil"/>
          <w:between w:val="nil"/>
        </w:pBdr>
        <w:ind w:firstLine="720"/>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 xml:space="preserve">There is another way in which our study of the </w:t>
      </w:r>
      <w:r>
        <w:rPr>
          <w:rFonts w:ascii="Palatino Linotype" w:eastAsia="Palatino Linotype" w:hAnsi="Palatino Linotype" w:cs="Palatino Linotype"/>
          <w:i/>
          <w:color w:val="242424"/>
          <w:sz w:val="24"/>
          <w:szCs w:val="24"/>
        </w:rPr>
        <w:t>Groundwork</w:t>
      </w:r>
      <w:r>
        <w:rPr>
          <w:rFonts w:ascii="Palatino Linotype" w:eastAsia="Palatino Linotype" w:hAnsi="Palatino Linotype" w:cs="Palatino Linotype"/>
          <w:color w:val="242424"/>
          <w:sz w:val="24"/>
          <w:szCs w:val="24"/>
        </w:rPr>
        <w:t xml:space="preserve"> will need to acknowledge Kant’s wider philosophy. Not only does he have much more to say about moral philosophy, but at least according to the interpretation(s) of the </w:t>
      </w:r>
      <w:r>
        <w:rPr>
          <w:rFonts w:ascii="Palatino Linotype" w:eastAsia="Palatino Linotype" w:hAnsi="Palatino Linotype" w:cs="Palatino Linotype"/>
          <w:i/>
          <w:color w:val="242424"/>
          <w:sz w:val="24"/>
          <w:szCs w:val="24"/>
        </w:rPr>
        <w:t>Groundwork</w:t>
      </w:r>
      <w:r>
        <w:rPr>
          <w:rFonts w:ascii="Palatino Linotype" w:eastAsia="Palatino Linotype" w:hAnsi="Palatino Linotype" w:cs="Palatino Linotype"/>
          <w:color w:val="242424"/>
          <w:sz w:val="24"/>
          <w:szCs w:val="24"/>
        </w:rPr>
        <w:t xml:space="preserve"> which I will be offering for your consideration, the arguments of the </w:t>
      </w:r>
      <w:r>
        <w:rPr>
          <w:rFonts w:ascii="Palatino Linotype" w:eastAsia="Palatino Linotype" w:hAnsi="Palatino Linotype" w:cs="Palatino Linotype"/>
          <w:i/>
          <w:color w:val="242424"/>
          <w:sz w:val="24"/>
          <w:szCs w:val="24"/>
        </w:rPr>
        <w:t>Groundwork</w:t>
      </w:r>
      <w:r>
        <w:rPr>
          <w:rFonts w:ascii="Palatino Linotype" w:eastAsia="Palatino Linotype" w:hAnsi="Palatino Linotype" w:cs="Palatino Linotype"/>
          <w:color w:val="242424"/>
          <w:sz w:val="24"/>
          <w:szCs w:val="24"/>
        </w:rPr>
        <w:t xml:space="preserve"> depend upon metaphysical ideas which he articulates and defends elsewhere – most fully in the </w:t>
      </w:r>
      <w:r>
        <w:rPr>
          <w:rFonts w:ascii="Palatino Linotype" w:eastAsia="Palatino Linotype" w:hAnsi="Palatino Linotype" w:cs="Palatino Linotype"/>
          <w:i/>
          <w:color w:val="242424"/>
          <w:sz w:val="24"/>
          <w:szCs w:val="24"/>
        </w:rPr>
        <w:t>Critique of Pure Reason</w:t>
      </w:r>
      <w:r>
        <w:rPr>
          <w:rFonts w:ascii="Palatino Linotype" w:eastAsia="Palatino Linotype" w:hAnsi="Palatino Linotype" w:cs="Palatino Linotype"/>
          <w:color w:val="242424"/>
          <w:sz w:val="24"/>
          <w:szCs w:val="24"/>
        </w:rPr>
        <w:t>. There is a tradition of interpreting Kant’s moral philosophy in which an attempt is made to interpret or reconstruct his e</w:t>
      </w:r>
      <w:r>
        <w:rPr>
          <w:rFonts w:ascii="Palatino Linotype" w:eastAsia="Palatino Linotype" w:hAnsi="Palatino Linotype" w:cs="Palatino Linotype"/>
          <w:color w:val="242424"/>
          <w:sz w:val="24"/>
          <w:szCs w:val="24"/>
        </w:rPr>
        <w:t>thics with very little reliance on his ‘theoretical’ philosophy (his epistemology and metaphysics).</w:t>
      </w:r>
      <w:r>
        <w:rPr>
          <w:rFonts w:ascii="Palatino Linotype" w:eastAsia="Palatino Linotype" w:hAnsi="Palatino Linotype" w:cs="Palatino Linotype"/>
          <w:color w:val="242424"/>
          <w:sz w:val="24"/>
          <w:szCs w:val="24"/>
          <w:vertAlign w:val="superscript"/>
        </w:rPr>
        <w:footnoteReference w:id="6"/>
      </w:r>
      <w:r>
        <w:rPr>
          <w:rFonts w:ascii="Palatino Linotype" w:eastAsia="Palatino Linotype" w:hAnsi="Palatino Linotype" w:cs="Palatino Linotype"/>
          <w:color w:val="242424"/>
          <w:sz w:val="24"/>
          <w:szCs w:val="24"/>
        </w:rPr>
        <w:t xml:space="preserve"> But I do not think we can sustain those interpretations, for reasons which I’ll try to explain in the lectures – and which might well come up in our seminar discussions. So, whilst I won’t ask you to read any of Kant’s theoretical philosophy, I will spend some time in the first lecture on Kant giving a very brief sketch of some necessary background ideas.</w:t>
      </w:r>
      <w:r>
        <w:rPr>
          <w:rFonts w:ascii="Palatino Linotype" w:eastAsia="Palatino Linotype" w:hAnsi="Palatino Linotype" w:cs="Palatino Linotype"/>
          <w:color w:val="242424"/>
          <w:sz w:val="24"/>
          <w:szCs w:val="24"/>
          <w:vertAlign w:val="superscript"/>
        </w:rPr>
        <w:footnoteReference w:id="7"/>
      </w:r>
    </w:p>
    <w:p w14:paraId="0000001F" w14:textId="77777777" w:rsidR="00D77828" w:rsidRDefault="00DF5AA9">
      <w:pPr>
        <w:pBdr>
          <w:top w:val="nil"/>
          <w:left w:val="nil"/>
          <w:bottom w:val="nil"/>
          <w:right w:val="nil"/>
          <w:between w:val="nil"/>
        </w:pBdr>
        <w:ind w:firstLine="720"/>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 xml:space="preserve">Kant is not the only figure we will come across whose ethical ideas are grounded in wider and deeper philosophical commitments – if it is true that Kant wrote more than we will study on ethics and that he was a systematic thinker drawing on various metaphysical ideas, it is all the more true of Aquinas, for example! And it is true of Plato, Aristotle, all the medievals and several figures from the early modern period as well (although some early modern figures we shall meet, such as Mandeville, were not, I </w:t>
      </w:r>
      <w:r>
        <w:rPr>
          <w:rFonts w:ascii="Palatino Linotype" w:eastAsia="Palatino Linotype" w:hAnsi="Palatino Linotype" w:cs="Palatino Linotype"/>
          <w:color w:val="242424"/>
          <w:sz w:val="24"/>
          <w:szCs w:val="24"/>
        </w:rPr>
        <w:t>think, particularly interested in things metaphysical). But as I said above, our approach in the first part of the module, when we meet those figures, will be rather different from our approach in the second: when we read Kant, we will be trying to engage closely with a thinker’s sustained line of argument about very general moral or metaethical issues; but in the first part of the module, we will be comparing and contrasting arguments and ideas, with less focus on their place in particular texts. These are</w:t>
      </w:r>
      <w:r>
        <w:rPr>
          <w:rFonts w:ascii="Palatino Linotype" w:eastAsia="Palatino Linotype" w:hAnsi="Palatino Linotype" w:cs="Palatino Linotype"/>
          <w:color w:val="242424"/>
          <w:sz w:val="24"/>
          <w:szCs w:val="24"/>
        </w:rPr>
        <w:t xml:space="preserve"> both legitimate and important philosophical tasks – which employ and hone important intellectual skills to be used outside philosophy – but they do call for different levels of awareness of philosophers’ broader systems. </w:t>
      </w:r>
    </w:p>
    <w:p w14:paraId="00000020" w14:textId="77777777" w:rsidR="00D77828" w:rsidRDefault="00DF5AA9">
      <w:pPr>
        <w:pBdr>
          <w:top w:val="nil"/>
          <w:left w:val="nil"/>
          <w:bottom w:val="nil"/>
          <w:right w:val="nil"/>
          <w:between w:val="nil"/>
        </w:pBdr>
        <w:ind w:firstLine="720"/>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 xml:space="preserve">As I have just hinted, Kant’s argument in the </w:t>
      </w:r>
      <w:r>
        <w:rPr>
          <w:rFonts w:ascii="Palatino Linotype" w:eastAsia="Palatino Linotype" w:hAnsi="Palatino Linotype" w:cs="Palatino Linotype"/>
          <w:i/>
          <w:color w:val="242424"/>
          <w:sz w:val="24"/>
          <w:szCs w:val="24"/>
        </w:rPr>
        <w:t>Groundwork</w:t>
      </w:r>
      <w:r>
        <w:rPr>
          <w:rFonts w:ascii="Palatino Linotype" w:eastAsia="Palatino Linotype" w:hAnsi="Palatino Linotype" w:cs="Palatino Linotype"/>
          <w:color w:val="242424"/>
          <w:sz w:val="24"/>
          <w:szCs w:val="24"/>
        </w:rPr>
        <w:t xml:space="preserve"> concerns the foundations of morality, which some people might think of as metaethics but is certainly a very general topic in moral philosophy. (He does address more concrete, applied issues, mainly in the </w:t>
      </w:r>
      <w:r>
        <w:rPr>
          <w:rFonts w:ascii="Palatino Linotype" w:eastAsia="Palatino Linotype" w:hAnsi="Palatino Linotype" w:cs="Palatino Linotype"/>
          <w:i/>
          <w:color w:val="242424"/>
          <w:sz w:val="24"/>
          <w:szCs w:val="24"/>
        </w:rPr>
        <w:t>Metaphysics of Morals</w:t>
      </w:r>
      <w:r>
        <w:rPr>
          <w:rFonts w:ascii="Palatino Linotype" w:eastAsia="Palatino Linotype" w:hAnsi="Palatino Linotype" w:cs="Palatino Linotype"/>
          <w:color w:val="242424"/>
          <w:sz w:val="24"/>
          <w:szCs w:val="24"/>
        </w:rPr>
        <w:t xml:space="preserve">. But even there, he is explicit about his belief that particular moral issues can and should be addressed by working out the consequences of the ‘fundamental principle of morality’ which he is concerned with in the </w:t>
      </w:r>
      <w:r>
        <w:rPr>
          <w:rFonts w:ascii="Palatino Linotype" w:eastAsia="Palatino Linotype" w:hAnsi="Palatino Linotype" w:cs="Palatino Linotype"/>
          <w:i/>
          <w:color w:val="242424"/>
          <w:sz w:val="24"/>
          <w:szCs w:val="24"/>
        </w:rPr>
        <w:t>Groundwork</w:t>
      </w:r>
      <w:r>
        <w:rPr>
          <w:rFonts w:ascii="Palatino Linotype" w:eastAsia="Palatino Linotype" w:hAnsi="Palatino Linotype" w:cs="Palatino Linotype"/>
          <w:color w:val="242424"/>
          <w:sz w:val="24"/>
          <w:szCs w:val="24"/>
        </w:rPr>
        <w:t>.) Of the topics we shall discuss in the first p</w:t>
      </w:r>
      <w:r>
        <w:rPr>
          <w:rFonts w:ascii="Palatino Linotype" w:eastAsia="Palatino Linotype" w:hAnsi="Palatino Linotype" w:cs="Palatino Linotype"/>
          <w:color w:val="242424"/>
          <w:sz w:val="24"/>
          <w:szCs w:val="24"/>
        </w:rPr>
        <w:t xml:space="preserve">art of the module, some are similarly metaethical or general, such as the issue of the relation between self-interest and morality. But other topics, such as the morality of usury, could be thought of as examples of </w:t>
      </w:r>
      <w:r>
        <w:rPr>
          <w:rFonts w:ascii="Palatino Linotype" w:eastAsia="Palatino Linotype" w:hAnsi="Palatino Linotype" w:cs="Palatino Linotype"/>
          <w:i/>
          <w:color w:val="242424"/>
          <w:sz w:val="24"/>
          <w:szCs w:val="24"/>
        </w:rPr>
        <w:t>applied ethics</w:t>
      </w:r>
      <w:r>
        <w:rPr>
          <w:rFonts w:ascii="Palatino Linotype" w:eastAsia="Palatino Linotype" w:hAnsi="Palatino Linotype" w:cs="Palatino Linotype"/>
          <w:color w:val="242424"/>
          <w:sz w:val="24"/>
          <w:szCs w:val="24"/>
        </w:rPr>
        <w:t xml:space="preserve"> topics in the history of philosophy. So here again, the module as a whole will cover a range of things, from medieval applied ethics to systematic theoretical discussions of the foundations of morality. </w:t>
      </w:r>
    </w:p>
    <w:p w14:paraId="00000021" w14:textId="77777777" w:rsidR="00D77828" w:rsidRDefault="00D77828">
      <w:pPr>
        <w:pBdr>
          <w:top w:val="nil"/>
          <w:left w:val="nil"/>
          <w:bottom w:val="nil"/>
          <w:right w:val="nil"/>
          <w:between w:val="nil"/>
        </w:pBdr>
        <w:rPr>
          <w:rFonts w:ascii="Palatino Linotype" w:eastAsia="Palatino Linotype" w:hAnsi="Palatino Linotype" w:cs="Palatino Linotype"/>
          <w:color w:val="242424"/>
          <w:sz w:val="24"/>
          <w:szCs w:val="24"/>
        </w:rPr>
      </w:pPr>
    </w:p>
    <w:p w14:paraId="00000022" w14:textId="77777777" w:rsidR="00D77828" w:rsidRDefault="00DF5AA9">
      <w:pPr>
        <w:pBdr>
          <w:top w:val="nil"/>
          <w:left w:val="nil"/>
          <w:bottom w:val="nil"/>
          <w:right w:val="nil"/>
          <w:between w:val="nil"/>
        </w:pBdr>
        <w:rPr>
          <w:rFonts w:ascii="Palatino Linotype" w:eastAsia="Palatino Linotype" w:hAnsi="Palatino Linotype" w:cs="Palatino Linotype"/>
          <w:b/>
          <w:color w:val="242424"/>
          <w:sz w:val="24"/>
          <w:szCs w:val="24"/>
          <w:u w:val="single"/>
        </w:rPr>
      </w:pPr>
      <w:r>
        <w:rPr>
          <w:rFonts w:ascii="Palatino Linotype" w:eastAsia="Palatino Linotype" w:hAnsi="Palatino Linotype" w:cs="Palatino Linotype"/>
          <w:b/>
          <w:color w:val="242424"/>
          <w:sz w:val="24"/>
          <w:szCs w:val="24"/>
          <w:u w:val="single"/>
        </w:rPr>
        <w:t>How We Will Work</w:t>
      </w:r>
    </w:p>
    <w:p w14:paraId="00000023" w14:textId="77777777" w:rsidR="00D77828" w:rsidRDefault="00D77828">
      <w:pPr>
        <w:pBdr>
          <w:top w:val="nil"/>
          <w:left w:val="nil"/>
          <w:bottom w:val="nil"/>
          <w:right w:val="nil"/>
          <w:between w:val="nil"/>
        </w:pBdr>
        <w:rPr>
          <w:rFonts w:ascii="Palatino Linotype" w:eastAsia="Palatino Linotype" w:hAnsi="Palatino Linotype" w:cs="Palatino Linotype"/>
          <w:color w:val="242424"/>
          <w:sz w:val="24"/>
          <w:szCs w:val="24"/>
        </w:rPr>
      </w:pPr>
    </w:p>
    <w:p w14:paraId="00000024"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Each week there will be one two-hour lecture. That lecture will be split into two halves, with a short break in the middle. The lectures will set things up, explain or interpret difficult ideas or arguments, and highlight which parts of the reading are most essential, and how the various readings relate to each other (especially in the first part of the module). Sometimes, the second half the of the lecture session, after the break, will include some more interactive work where, for example, I ask you to wo</w:t>
      </w:r>
      <w:r>
        <w:rPr>
          <w:rFonts w:ascii="Palatino Linotype" w:eastAsia="Palatino Linotype" w:hAnsi="Palatino Linotype" w:cs="Palatino Linotype"/>
          <w:color w:val="242424"/>
          <w:sz w:val="24"/>
          <w:szCs w:val="24"/>
        </w:rPr>
        <w:t xml:space="preserve">rk with someone to extract an argument from a piece of text (however, the second part of the lecture will never be entirely like this – it will not be a </w:t>
      </w:r>
      <w:r>
        <w:rPr>
          <w:rFonts w:ascii="Palatino Linotype" w:eastAsia="Palatino Linotype" w:hAnsi="Palatino Linotype" w:cs="Palatino Linotype"/>
          <w:i/>
          <w:color w:val="242424"/>
          <w:sz w:val="24"/>
          <w:szCs w:val="24"/>
        </w:rPr>
        <w:t>seminar</w:t>
      </w:r>
      <w:r>
        <w:rPr>
          <w:rFonts w:ascii="Palatino Linotype" w:eastAsia="Palatino Linotype" w:hAnsi="Palatino Linotype" w:cs="Palatino Linotype"/>
          <w:color w:val="242424"/>
          <w:sz w:val="24"/>
          <w:szCs w:val="24"/>
        </w:rPr>
        <w:t xml:space="preserve">). Partly for this reason, it is important that you </w:t>
      </w:r>
      <w:r>
        <w:rPr>
          <w:rFonts w:ascii="Palatino Linotype" w:eastAsia="Palatino Linotype" w:hAnsi="Palatino Linotype" w:cs="Palatino Linotype"/>
          <w:i/>
          <w:color w:val="242424"/>
          <w:sz w:val="24"/>
          <w:szCs w:val="24"/>
        </w:rPr>
        <w:t>attend</w:t>
      </w:r>
      <w:r>
        <w:rPr>
          <w:rFonts w:ascii="Palatino Linotype" w:eastAsia="Palatino Linotype" w:hAnsi="Palatino Linotype" w:cs="Palatino Linotype"/>
          <w:color w:val="242424"/>
          <w:sz w:val="24"/>
          <w:szCs w:val="24"/>
        </w:rPr>
        <w:t xml:space="preserve"> lectures. They will be recorded, but the recordings will not capture everything that matters; they are useful for </w:t>
      </w:r>
      <w:r>
        <w:rPr>
          <w:rFonts w:ascii="Palatino Linotype" w:eastAsia="Palatino Linotype" w:hAnsi="Palatino Linotype" w:cs="Palatino Linotype"/>
          <w:i/>
          <w:color w:val="242424"/>
          <w:sz w:val="24"/>
          <w:szCs w:val="24"/>
        </w:rPr>
        <w:t>reinforcing</w:t>
      </w:r>
      <w:r>
        <w:rPr>
          <w:rFonts w:ascii="Palatino Linotype" w:eastAsia="Palatino Linotype" w:hAnsi="Palatino Linotype" w:cs="Palatino Linotype"/>
          <w:color w:val="242424"/>
          <w:sz w:val="24"/>
          <w:szCs w:val="24"/>
        </w:rPr>
        <w:t xml:space="preserve"> key messages, but they are not an adequate substitute for attendance. </w:t>
      </w:r>
    </w:p>
    <w:p w14:paraId="00000025"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ab/>
        <w:t xml:space="preserve">Seminars will be </w:t>
      </w:r>
      <w:r>
        <w:rPr>
          <w:rFonts w:ascii="Palatino Linotype" w:eastAsia="Palatino Linotype" w:hAnsi="Palatino Linotype" w:cs="Palatino Linotype"/>
          <w:i/>
          <w:color w:val="242424"/>
          <w:sz w:val="24"/>
          <w:szCs w:val="24"/>
        </w:rPr>
        <w:t>discussion groups</w:t>
      </w:r>
      <w:r>
        <w:rPr>
          <w:rFonts w:ascii="Palatino Linotype" w:eastAsia="Palatino Linotype" w:hAnsi="Palatino Linotype" w:cs="Palatino Linotype"/>
          <w:color w:val="242424"/>
          <w:sz w:val="24"/>
          <w:szCs w:val="24"/>
        </w:rPr>
        <w:t xml:space="preserve">. Since we will probably do some pair or very small group work in the second part of some lectures, my preference is to have whole-group interactions in the seminars so that we can all benefit as much as possible from each other’s contributions during our limited time together (but if people have a strong preference for small group work in seminars too, I am willing to be persuaded). As always, preparation will be key. I expect us all (myself included) to have done the same preparation for </w:t>
      </w:r>
      <w:r>
        <w:rPr>
          <w:rFonts w:ascii="Palatino Linotype" w:eastAsia="Palatino Linotype" w:hAnsi="Palatino Linotype" w:cs="Palatino Linotype"/>
          <w:color w:val="242424"/>
          <w:sz w:val="24"/>
          <w:szCs w:val="24"/>
        </w:rPr>
        <w:t xml:space="preserve">each seminar: reading or re-reading the key text(s) </w:t>
      </w:r>
      <w:r>
        <w:rPr>
          <w:rFonts w:ascii="Palatino Linotype" w:eastAsia="Palatino Linotype" w:hAnsi="Palatino Linotype" w:cs="Palatino Linotype"/>
          <w:i/>
          <w:color w:val="242424"/>
          <w:sz w:val="24"/>
          <w:szCs w:val="24"/>
        </w:rPr>
        <w:t>recently</w:t>
      </w:r>
      <w:r>
        <w:rPr>
          <w:rFonts w:ascii="Palatino Linotype" w:eastAsia="Palatino Linotype" w:hAnsi="Palatino Linotype" w:cs="Palatino Linotype"/>
          <w:color w:val="242424"/>
          <w:sz w:val="24"/>
          <w:szCs w:val="24"/>
        </w:rPr>
        <w:t xml:space="preserve">, so that it is fresh in our minds; reviewing the lecture material so that we all know what the arguments and ideas discussed were in some reasonable detail; and preparing questions or things to say about the material. The questions can be clarificatory, although the seminars should not become repeats of the lectures (that is what the recordings are for). One way to avoid that is for </w:t>
      </w:r>
      <w:r>
        <w:rPr>
          <w:rFonts w:ascii="Palatino Linotype" w:eastAsia="Palatino Linotype" w:hAnsi="Palatino Linotype" w:cs="Palatino Linotype"/>
          <w:i/>
          <w:color w:val="242424"/>
          <w:sz w:val="24"/>
          <w:szCs w:val="24"/>
        </w:rPr>
        <w:t>you</w:t>
      </w:r>
      <w:r>
        <w:rPr>
          <w:rFonts w:ascii="Palatino Linotype" w:eastAsia="Palatino Linotype" w:hAnsi="Palatino Linotype" w:cs="Palatino Linotype"/>
          <w:color w:val="242424"/>
          <w:sz w:val="24"/>
          <w:szCs w:val="24"/>
        </w:rPr>
        <w:t xml:space="preserve"> to answer clarificatory questions which others ask; don’t lea</w:t>
      </w:r>
      <w:r>
        <w:rPr>
          <w:rFonts w:ascii="Palatino Linotype" w:eastAsia="Palatino Linotype" w:hAnsi="Palatino Linotype" w:cs="Palatino Linotype"/>
          <w:color w:val="242424"/>
          <w:sz w:val="24"/>
          <w:szCs w:val="24"/>
        </w:rPr>
        <w:t xml:space="preserve">ve it to me, unless it is a question about something that was not discussed in the lecture and which you wouldn’t have any way of knowing about. As for having things to say, you don’t need to have developed a fully worked-out critique of an argument we’ve been considering. </w:t>
      </w:r>
      <w:r>
        <w:rPr>
          <w:rFonts w:ascii="Palatino Linotype" w:eastAsia="Palatino Linotype" w:hAnsi="Palatino Linotype" w:cs="Palatino Linotype"/>
          <w:i/>
          <w:color w:val="242424"/>
          <w:sz w:val="24"/>
          <w:szCs w:val="24"/>
        </w:rPr>
        <w:t>Anything</w:t>
      </w:r>
      <w:r>
        <w:rPr>
          <w:rFonts w:ascii="Palatino Linotype" w:eastAsia="Palatino Linotype" w:hAnsi="Palatino Linotype" w:cs="Palatino Linotype"/>
          <w:color w:val="242424"/>
          <w:sz w:val="24"/>
          <w:szCs w:val="24"/>
        </w:rPr>
        <w:t xml:space="preserve"> interesting that occurs to you about the texts, or the arguments, or the views we’ve considered in the lecture is worth remembering, noting down and trying to get as clear about as possible, and is probably worth sharing in the s</w:t>
      </w:r>
      <w:r>
        <w:rPr>
          <w:rFonts w:ascii="Palatino Linotype" w:eastAsia="Palatino Linotype" w:hAnsi="Palatino Linotype" w:cs="Palatino Linotype"/>
          <w:color w:val="242424"/>
          <w:sz w:val="24"/>
          <w:szCs w:val="24"/>
        </w:rPr>
        <w:t xml:space="preserve">eminar. If it doesn’t go anywhere, fine; but it might well spark something genuinely exciting which we wouldn’t have discussed otherwise, especially if someone else’s reaction to that point is not what you anticipated. </w:t>
      </w:r>
    </w:p>
    <w:p w14:paraId="00000026"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ab/>
        <w:t xml:space="preserve">If there is something which interests – or puzzles – you and which we don’t have time to discuss in the seminar, or which is left behind as the seminar discussion takes a different turn, please use my </w:t>
      </w:r>
      <w:r>
        <w:rPr>
          <w:rFonts w:ascii="Palatino Linotype" w:eastAsia="Palatino Linotype" w:hAnsi="Palatino Linotype" w:cs="Palatino Linotype"/>
          <w:b/>
          <w:color w:val="242424"/>
          <w:sz w:val="24"/>
          <w:szCs w:val="24"/>
        </w:rPr>
        <w:t>office hours</w:t>
      </w:r>
      <w:r>
        <w:rPr>
          <w:rFonts w:ascii="Palatino Linotype" w:eastAsia="Palatino Linotype" w:hAnsi="Palatino Linotype" w:cs="Palatino Linotype"/>
          <w:color w:val="242424"/>
          <w:sz w:val="24"/>
          <w:szCs w:val="24"/>
        </w:rPr>
        <w:t xml:space="preserve"> to come – on your own or with a friend – and discuss it. If you cannot make the regular office hours, please email me to arrange an alternative time; don’t simply let it go! Similarly, if you have been thinking about things over a period of a few days or weeks (which of course you should!) and you have something to talk about that you didn’t know you wanted to talk about in the seminar, come along to an office hour. Office hours are generally under-used; but they are some of the most important </w:t>
      </w:r>
      <w:r>
        <w:rPr>
          <w:rFonts w:ascii="Palatino Linotype" w:eastAsia="Palatino Linotype" w:hAnsi="Palatino Linotype" w:cs="Palatino Linotype"/>
          <w:color w:val="242424"/>
          <w:sz w:val="24"/>
          <w:szCs w:val="24"/>
        </w:rPr>
        <w:t xml:space="preserve">occasions for making use of staff expertise. </w:t>
      </w:r>
    </w:p>
    <w:p w14:paraId="00000027" w14:textId="77777777" w:rsidR="00D77828" w:rsidRDefault="00D77828">
      <w:pPr>
        <w:pBdr>
          <w:top w:val="nil"/>
          <w:left w:val="nil"/>
          <w:bottom w:val="nil"/>
          <w:right w:val="nil"/>
          <w:between w:val="nil"/>
        </w:pBdr>
        <w:rPr>
          <w:rFonts w:ascii="Palatino Linotype" w:eastAsia="Palatino Linotype" w:hAnsi="Palatino Linotype" w:cs="Palatino Linotype"/>
          <w:color w:val="242424"/>
          <w:sz w:val="24"/>
          <w:szCs w:val="24"/>
        </w:rPr>
      </w:pPr>
    </w:p>
    <w:p w14:paraId="00000028"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4"/>
          <w:szCs w:val="24"/>
          <w:u w:val="single"/>
        </w:rPr>
      </w:pPr>
      <w:r>
        <w:rPr>
          <w:rFonts w:ascii="Palatino Linotype" w:eastAsia="Palatino Linotype" w:hAnsi="Palatino Linotype" w:cs="Palatino Linotype"/>
          <w:b/>
          <w:color w:val="242424"/>
          <w:sz w:val="24"/>
          <w:szCs w:val="24"/>
          <w:u w:val="single"/>
        </w:rPr>
        <w:t>Assessment</w:t>
      </w:r>
    </w:p>
    <w:p w14:paraId="00000029" w14:textId="77777777" w:rsidR="00D77828" w:rsidRDefault="00D77828">
      <w:pPr>
        <w:pBdr>
          <w:top w:val="nil"/>
          <w:left w:val="nil"/>
          <w:bottom w:val="nil"/>
          <w:right w:val="nil"/>
          <w:between w:val="nil"/>
        </w:pBdr>
        <w:rPr>
          <w:rFonts w:ascii="Palatino Linotype" w:eastAsia="Palatino Linotype" w:hAnsi="Palatino Linotype" w:cs="Palatino Linotype"/>
          <w:color w:val="242424"/>
          <w:sz w:val="24"/>
          <w:szCs w:val="24"/>
        </w:rPr>
      </w:pPr>
    </w:p>
    <w:p w14:paraId="0000002A"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 xml:space="preserve">Of course you will want to do well in the assessment for this module, and you have every reason to do so. But – as always – doing well will come from engaging with the material, thinking about the arguments and grappling with the ideas; so </w:t>
      </w:r>
      <w:r>
        <w:rPr>
          <w:rFonts w:ascii="Palatino Linotype" w:eastAsia="Palatino Linotype" w:hAnsi="Palatino Linotype" w:cs="Palatino Linotype"/>
          <w:i/>
          <w:color w:val="242424"/>
          <w:sz w:val="24"/>
          <w:szCs w:val="24"/>
        </w:rPr>
        <w:t>those</w:t>
      </w:r>
      <w:r>
        <w:rPr>
          <w:rFonts w:ascii="Palatino Linotype" w:eastAsia="Palatino Linotype" w:hAnsi="Palatino Linotype" w:cs="Palatino Linotype"/>
          <w:color w:val="242424"/>
          <w:sz w:val="24"/>
          <w:szCs w:val="24"/>
        </w:rPr>
        <w:t xml:space="preserve"> things, and not the assessments themselves, should be what you spend the vast majority of your time thinking about. (It is like winning tennis tournaments: you don’t win them by thinking about winning the tournament; you win them by taking one game at a time, and being in the moment during each game!)</w:t>
      </w:r>
    </w:p>
    <w:p w14:paraId="0000002B"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ab/>
      </w:r>
      <w:r>
        <w:rPr>
          <w:rFonts w:ascii="Palatino Linotype" w:eastAsia="Palatino Linotype" w:hAnsi="Palatino Linotype" w:cs="Palatino Linotype"/>
          <w:color w:val="242424"/>
          <w:sz w:val="24"/>
          <w:szCs w:val="24"/>
        </w:rPr>
        <w:t xml:space="preserve">There will be a short answer exam and an essay. The short answer exam will be worth 30% of the module mark, and will consist of two types of questions: five multiple choice questions; and five questions which can be answered in one paragraph. </w:t>
      </w:r>
      <w:r>
        <w:rPr>
          <w:rFonts w:ascii="Palatino Linotype" w:eastAsia="Palatino Linotype" w:hAnsi="Palatino Linotype" w:cs="Palatino Linotype"/>
          <w:b/>
          <w:color w:val="242424"/>
          <w:sz w:val="24"/>
          <w:szCs w:val="24"/>
        </w:rPr>
        <w:t xml:space="preserve">If you keep up with the module material week by week, you should be able to do </w:t>
      </w:r>
      <w:r>
        <w:rPr>
          <w:rFonts w:ascii="Palatino Linotype" w:eastAsia="Palatino Linotype" w:hAnsi="Palatino Linotype" w:cs="Palatino Linotype"/>
          <w:b/>
          <w:i/>
          <w:color w:val="242424"/>
          <w:sz w:val="24"/>
          <w:szCs w:val="24"/>
        </w:rPr>
        <w:t>very well</w:t>
      </w:r>
      <w:r>
        <w:rPr>
          <w:rFonts w:ascii="Palatino Linotype" w:eastAsia="Palatino Linotype" w:hAnsi="Palatino Linotype" w:cs="Palatino Linotype"/>
          <w:b/>
          <w:color w:val="242424"/>
          <w:sz w:val="24"/>
          <w:szCs w:val="24"/>
        </w:rPr>
        <w:t xml:space="preserve"> in the exam without extra work</w:t>
      </w:r>
      <w:r>
        <w:rPr>
          <w:rFonts w:ascii="Palatino Linotype" w:eastAsia="Palatino Linotype" w:hAnsi="Palatino Linotype" w:cs="Palatino Linotype"/>
          <w:color w:val="242424"/>
          <w:sz w:val="24"/>
          <w:szCs w:val="24"/>
        </w:rPr>
        <w:t>; a key reason for having the short answer exams is to motivate and reward engagement on a week-by-week basis, and learning at least the basics proper</w:t>
      </w:r>
      <w:r>
        <w:rPr>
          <w:rFonts w:ascii="Palatino Linotype" w:eastAsia="Palatino Linotype" w:hAnsi="Palatino Linotype" w:cs="Palatino Linotype"/>
          <w:color w:val="242424"/>
          <w:sz w:val="24"/>
          <w:szCs w:val="24"/>
        </w:rPr>
        <w:t>ly so that you can remember them later.</w:t>
      </w:r>
    </w:p>
    <w:p w14:paraId="0000002C"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ab/>
        <w:t>Since the short answer exam will take care of assessing your grasp of a range of details, without requiring much critical engagement, I shall expect your</w:t>
      </w:r>
      <w:r>
        <w:rPr>
          <w:rFonts w:ascii="Palatino Linotype" w:eastAsia="Palatino Linotype" w:hAnsi="Palatino Linotype" w:cs="Palatino Linotype"/>
          <w:i/>
          <w:color w:val="242424"/>
          <w:sz w:val="24"/>
          <w:szCs w:val="24"/>
        </w:rPr>
        <w:t xml:space="preserve"> essays</w:t>
      </w:r>
      <w:r>
        <w:rPr>
          <w:rFonts w:ascii="Palatino Linotype" w:eastAsia="Palatino Linotype" w:hAnsi="Palatino Linotype" w:cs="Palatino Linotype"/>
          <w:color w:val="242424"/>
          <w:sz w:val="24"/>
          <w:szCs w:val="24"/>
        </w:rPr>
        <w:t xml:space="preserve"> to be heavily infused with critical engagement. I shall try to set essay questions which invite some interesting answers, and whilst it is of course crucial to get the details right of the ideas and arguments you are discussing in your essay, I expect you to do more in your essays that simply reproduce lecture material: you should now start to develop the confidence, if you haven’t already, to make your own judgements about what to say in response to a question, and how to argue in support of your a</w:t>
      </w:r>
      <w:r>
        <w:rPr>
          <w:rFonts w:ascii="Palatino Linotype" w:eastAsia="Palatino Linotype" w:hAnsi="Palatino Linotype" w:cs="Palatino Linotype"/>
          <w:color w:val="242424"/>
          <w:sz w:val="24"/>
          <w:szCs w:val="24"/>
        </w:rPr>
        <w:t>nswer. And that goes for interpretive issues as well: many of the texts we will be studying are difficult and controversial, so it will require judgement on your part to decide what you think they are saying. I will make suggestions, and often argue in support of my reading of a text; but you should not take what I say – or what anybody says – as definitive, and must make up your own mind about what the most reasonable interpretation of each text or argument is. And this should be evident in your essays.</w:t>
      </w:r>
    </w:p>
    <w:p w14:paraId="0000002D" w14:textId="77777777" w:rsidR="00D77828" w:rsidRDefault="00D77828">
      <w:pPr>
        <w:pBdr>
          <w:top w:val="nil"/>
          <w:left w:val="nil"/>
          <w:bottom w:val="nil"/>
          <w:right w:val="nil"/>
          <w:between w:val="nil"/>
        </w:pBdr>
        <w:rPr>
          <w:rFonts w:ascii="Palatino Linotype" w:eastAsia="Palatino Linotype" w:hAnsi="Palatino Linotype" w:cs="Palatino Linotype"/>
          <w:color w:val="242424"/>
          <w:sz w:val="24"/>
          <w:szCs w:val="24"/>
        </w:rPr>
      </w:pPr>
    </w:p>
    <w:p w14:paraId="0000002E" w14:textId="77777777" w:rsidR="00D77828" w:rsidRDefault="00DF5AA9">
      <w:pPr>
        <w:pBdr>
          <w:top w:val="nil"/>
          <w:left w:val="nil"/>
          <w:bottom w:val="nil"/>
          <w:right w:val="nil"/>
          <w:between w:val="nil"/>
        </w:pBdr>
        <w:jc w:val="center"/>
        <w:rPr>
          <w:rFonts w:ascii="Palatino Linotype" w:eastAsia="Palatino Linotype" w:hAnsi="Palatino Linotype" w:cs="Palatino Linotype"/>
          <w:color w:val="242424"/>
          <w:sz w:val="28"/>
          <w:szCs w:val="28"/>
        </w:rPr>
      </w:pPr>
      <w:r>
        <w:rPr>
          <w:rFonts w:ascii="Palatino Linotype" w:eastAsia="Palatino Linotype" w:hAnsi="Palatino Linotype" w:cs="Palatino Linotype"/>
          <w:color w:val="242424"/>
          <w:sz w:val="28"/>
          <w:szCs w:val="28"/>
        </w:rPr>
        <w:t>Module Reading</w:t>
      </w:r>
    </w:p>
    <w:p w14:paraId="0000002F" w14:textId="77777777" w:rsidR="00D77828" w:rsidRDefault="00D77828">
      <w:pPr>
        <w:pBdr>
          <w:top w:val="nil"/>
          <w:left w:val="nil"/>
          <w:bottom w:val="nil"/>
          <w:right w:val="nil"/>
          <w:between w:val="nil"/>
        </w:pBdr>
        <w:jc w:val="center"/>
        <w:rPr>
          <w:rFonts w:ascii="Palatino Linotype" w:eastAsia="Palatino Linotype" w:hAnsi="Palatino Linotype" w:cs="Palatino Linotype"/>
          <w:color w:val="242424"/>
          <w:sz w:val="24"/>
          <w:szCs w:val="24"/>
        </w:rPr>
      </w:pPr>
    </w:p>
    <w:p w14:paraId="00000030"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 xml:space="preserve">The following list includes a lot of material – but don’t worry, you don’t have to read it all! Under each topic (signified in </w:t>
      </w:r>
      <w:r>
        <w:rPr>
          <w:rFonts w:ascii="Palatino Linotype" w:eastAsia="Palatino Linotype" w:hAnsi="Palatino Linotype" w:cs="Palatino Linotype"/>
          <w:smallCaps/>
          <w:color w:val="242424"/>
          <w:sz w:val="24"/>
          <w:szCs w:val="24"/>
        </w:rPr>
        <w:t>bold</w:t>
      </w:r>
      <w:r>
        <w:rPr>
          <w:rFonts w:ascii="Palatino Linotype" w:eastAsia="Palatino Linotype" w:hAnsi="Palatino Linotype" w:cs="Palatino Linotype"/>
          <w:color w:val="242424"/>
          <w:sz w:val="24"/>
          <w:szCs w:val="24"/>
        </w:rPr>
        <w:t xml:space="preserve">) I have listed various categories of reading. </w:t>
      </w:r>
      <w:r>
        <w:rPr>
          <w:rFonts w:ascii="Palatino Linotype" w:eastAsia="Palatino Linotype" w:hAnsi="Palatino Linotype" w:cs="Palatino Linotype"/>
          <w:b/>
          <w:color w:val="242424"/>
          <w:sz w:val="24"/>
          <w:szCs w:val="24"/>
        </w:rPr>
        <w:t>The essential reading for each topic is listed under ‘</w:t>
      </w:r>
      <w:r>
        <w:rPr>
          <w:rFonts w:ascii="Palatino Linotype" w:eastAsia="Palatino Linotype" w:hAnsi="Palatino Linotype" w:cs="Palatino Linotype"/>
          <w:b/>
          <w:i/>
          <w:color w:val="242424"/>
          <w:sz w:val="24"/>
          <w:szCs w:val="24"/>
        </w:rPr>
        <w:t>Essential Primary Texts</w:t>
      </w:r>
      <w:r>
        <w:rPr>
          <w:rFonts w:ascii="Palatino Linotype" w:eastAsia="Palatino Linotype" w:hAnsi="Palatino Linotype" w:cs="Palatino Linotype"/>
          <w:b/>
          <w:color w:val="242424"/>
          <w:sz w:val="24"/>
          <w:szCs w:val="24"/>
        </w:rPr>
        <w:t xml:space="preserve">’. </w:t>
      </w:r>
      <w:r>
        <w:rPr>
          <w:rFonts w:ascii="Palatino Linotype" w:eastAsia="Palatino Linotype" w:hAnsi="Palatino Linotype" w:cs="Palatino Linotype"/>
          <w:color w:val="242424"/>
          <w:sz w:val="24"/>
          <w:szCs w:val="24"/>
        </w:rPr>
        <w:t>These are the things I will expect you to have read. ‘Background texts’ are those which I think it would be useful for you to read to get an idea of what the primary texts are drawing on, or to get more detail on some of the things I will talk about in the lectures. ‘Further reading’ goes into more detail on specific issues, and you should consult the appropriate items if you are writing an essay on that topic. ‘Primary’ texts a</w:t>
      </w:r>
      <w:r>
        <w:rPr>
          <w:rFonts w:ascii="Palatino Linotype" w:eastAsia="Palatino Linotype" w:hAnsi="Palatino Linotype" w:cs="Palatino Linotype"/>
          <w:color w:val="242424"/>
          <w:sz w:val="24"/>
          <w:szCs w:val="24"/>
        </w:rPr>
        <w:t xml:space="preserve">re historical, not necessarily primary in the sense of being most important. </w:t>
      </w:r>
    </w:p>
    <w:p w14:paraId="00000031"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ab/>
        <w:t xml:space="preserve">Each essential piece of reading will be available online – either because there is already a full edition of the relevant work available via the Library, or because the relevant passages will be digitised. See the Online Reading List for links. </w:t>
      </w:r>
    </w:p>
    <w:p w14:paraId="00000032"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4"/>
          <w:szCs w:val="24"/>
        </w:rPr>
      </w:pPr>
      <w:r>
        <w:rPr>
          <w:rFonts w:ascii="Palatino Linotype" w:eastAsia="Palatino Linotype" w:hAnsi="Palatino Linotype" w:cs="Palatino Linotype"/>
          <w:color w:val="242424"/>
          <w:sz w:val="24"/>
          <w:szCs w:val="24"/>
        </w:rPr>
        <w:tab/>
      </w:r>
    </w:p>
    <w:p w14:paraId="00000033" w14:textId="77777777" w:rsidR="00D77828" w:rsidRDefault="00DF5AA9">
      <w:pPr>
        <w:rPr>
          <w:rFonts w:ascii="Palatino Linotype" w:eastAsia="Palatino Linotype" w:hAnsi="Palatino Linotype" w:cs="Palatino Linotype"/>
          <w:b/>
          <w:i/>
          <w:sz w:val="28"/>
          <w:szCs w:val="28"/>
        </w:rPr>
      </w:pPr>
      <w:r>
        <w:rPr>
          <w:rFonts w:ascii="Palatino Linotype" w:eastAsia="Palatino Linotype" w:hAnsi="Palatino Linotype" w:cs="Palatino Linotype"/>
          <w:b/>
          <w:i/>
          <w:sz w:val="28"/>
          <w:szCs w:val="28"/>
        </w:rPr>
        <w:t xml:space="preserve">Part One: </w:t>
      </w:r>
    </w:p>
    <w:p w14:paraId="00000034" w14:textId="77777777" w:rsidR="00D77828" w:rsidRDefault="00DF5AA9">
      <w:pPr>
        <w:rPr>
          <w:rFonts w:ascii="Palatino Linotype" w:eastAsia="Palatino Linotype" w:hAnsi="Palatino Linotype" w:cs="Palatino Linotype"/>
          <w:b/>
          <w:sz w:val="24"/>
          <w:szCs w:val="24"/>
        </w:rPr>
      </w:pPr>
      <w:r>
        <w:rPr>
          <w:rFonts w:ascii="Palatino Linotype" w:eastAsia="Palatino Linotype" w:hAnsi="Palatino Linotype" w:cs="Palatino Linotype"/>
          <w:b/>
          <w:i/>
          <w:sz w:val="28"/>
          <w:szCs w:val="28"/>
        </w:rPr>
        <w:t>Topics in Ancient, Medieval and Early Modern Moral Theory</w:t>
      </w:r>
    </w:p>
    <w:p w14:paraId="00000035" w14:textId="77777777" w:rsidR="00D77828" w:rsidRDefault="00D77828">
      <w:pPr>
        <w:rPr>
          <w:rFonts w:ascii="Palatino Linotype" w:eastAsia="Palatino Linotype" w:hAnsi="Palatino Linotype" w:cs="Palatino Linotype"/>
          <w:b/>
        </w:rPr>
      </w:pPr>
    </w:p>
    <w:p w14:paraId="00000036" w14:textId="77777777" w:rsidR="00D77828" w:rsidRDefault="00DF5AA9">
      <w:pPr>
        <w:ind w:left="567" w:hanging="567"/>
        <w:rPr>
          <w:rFonts w:ascii="Palatino Linotype" w:eastAsia="Palatino Linotype" w:hAnsi="Palatino Linotype" w:cs="Palatino Linotype"/>
          <w:b/>
          <w:smallCaps/>
          <w:sz w:val="28"/>
          <w:szCs w:val="28"/>
        </w:rPr>
      </w:pPr>
      <w:r>
        <w:rPr>
          <w:rFonts w:ascii="Palatino Linotype" w:eastAsia="Palatino Linotype" w:hAnsi="Palatino Linotype" w:cs="Palatino Linotype"/>
          <w:b/>
          <w:smallCaps/>
          <w:sz w:val="28"/>
          <w:szCs w:val="28"/>
        </w:rPr>
        <w:t>Usury: Justice and the Will</w:t>
      </w:r>
    </w:p>
    <w:p w14:paraId="00000037" w14:textId="77777777" w:rsidR="00D77828" w:rsidRDefault="00D77828">
      <w:pPr>
        <w:ind w:left="567" w:hanging="567"/>
        <w:rPr>
          <w:rFonts w:ascii="Palatino Linotype" w:eastAsia="Palatino Linotype" w:hAnsi="Palatino Linotype" w:cs="Palatino Linotype"/>
          <w:b/>
          <w:smallCaps/>
        </w:rPr>
      </w:pPr>
    </w:p>
    <w:p w14:paraId="00000038" w14:textId="77777777" w:rsidR="00D77828" w:rsidRDefault="00DF5AA9">
      <w:pPr>
        <w:ind w:left="567" w:hanging="567"/>
        <w:rPr>
          <w:rFonts w:ascii="Palatino Linotype" w:eastAsia="Palatino Linotype" w:hAnsi="Palatino Linotype" w:cs="Palatino Linotype"/>
          <w:b/>
          <w:i/>
        </w:rPr>
      </w:pPr>
      <w:r>
        <w:rPr>
          <w:rFonts w:ascii="Palatino Linotype" w:eastAsia="Palatino Linotype" w:hAnsi="Palatino Linotype" w:cs="Palatino Linotype"/>
          <w:b/>
          <w:i/>
        </w:rPr>
        <w:t>Background Primary Texts:</w:t>
      </w:r>
    </w:p>
    <w:p w14:paraId="00000039"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Aristotle</w:t>
      </w:r>
      <w:r>
        <w:rPr>
          <w:rFonts w:ascii="Palatino Linotype" w:eastAsia="Palatino Linotype" w:hAnsi="Palatino Linotype" w:cs="Palatino Linotype"/>
        </w:rPr>
        <w:t xml:space="preserve">, </w:t>
      </w:r>
      <w:r>
        <w:rPr>
          <w:rFonts w:ascii="Palatino Linotype" w:eastAsia="Palatino Linotype" w:hAnsi="Palatino Linotype" w:cs="Palatino Linotype"/>
          <w:i/>
        </w:rPr>
        <w:t>Nicomachean Ethics</w:t>
      </w:r>
      <w:r>
        <w:rPr>
          <w:rFonts w:ascii="Palatino Linotype" w:eastAsia="Palatino Linotype" w:hAnsi="Palatino Linotype" w:cs="Palatino Linotype"/>
        </w:rPr>
        <w:t xml:space="preserve"> Book III &amp; Book V</w:t>
      </w:r>
    </w:p>
    <w:p w14:paraId="0000003A"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________</w:t>
      </w:r>
      <w:r>
        <w:rPr>
          <w:rFonts w:ascii="Palatino Linotype" w:eastAsia="Palatino Linotype" w:hAnsi="Palatino Linotype" w:cs="Palatino Linotype"/>
        </w:rPr>
        <w:t xml:space="preserve">, </w:t>
      </w:r>
      <w:r>
        <w:rPr>
          <w:rFonts w:ascii="Palatino Linotype" w:eastAsia="Palatino Linotype" w:hAnsi="Palatino Linotype" w:cs="Palatino Linotype"/>
          <w:i/>
        </w:rPr>
        <w:t>Politics</w:t>
      </w:r>
      <w:r>
        <w:rPr>
          <w:rFonts w:ascii="Palatino Linotype" w:eastAsia="Palatino Linotype" w:hAnsi="Palatino Linotype" w:cs="Palatino Linotype"/>
        </w:rPr>
        <w:t xml:space="preserve"> Book I, §§8-10 (esp. 1256b40-1258b8)</w:t>
      </w:r>
    </w:p>
    <w:p w14:paraId="0000003B" w14:textId="77777777" w:rsidR="00D77828" w:rsidRDefault="00D77828">
      <w:pPr>
        <w:ind w:left="567" w:hanging="567"/>
        <w:rPr>
          <w:rFonts w:ascii="Palatino Linotype" w:eastAsia="Palatino Linotype" w:hAnsi="Palatino Linotype" w:cs="Palatino Linotype"/>
          <w:b/>
        </w:rPr>
      </w:pPr>
    </w:p>
    <w:p w14:paraId="0000003C" w14:textId="77777777" w:rsidR="00D77828" w:rsidRDefault="00DF5AA9">
      <w:pPr>
        <w:ind w:left="567" w:hanging="567"/>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Essential Primary Texts:</w:t>
      </w:r>
    </w:p>
    <w:p w14:paraId="0000003D" w14:textId="77777777" w:rsidR="00D77828" w:rsidRDefault="00DF5AA9">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Thomas Aquinas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 xml:space="preserve">Summa Theologica </w:t>
      </w:r>
      <w:r>
        <w:rPr>
          <w:rFonts w:ascii="Palatino Linotype" w:eastAsia="Palatino Linotype" w:hAnsi="Palatino Linotype" w:cs="Palatino Linotype"/>
          <w:sz w:val="24"/>
          <w:szCs w:val="24"/>
        </w:rPr>
        <w:t>IIaIIae Question 78</w:t>
      </w:r>
    </w:p>
    <w:p w14:paraId="0000003E" w14:textId="77777777" w:rsidR="00D77828" w:rsidRDefault="00DF5AA9">
      <w:pPr>
        <w:ind w:left="567" w:hanging="567"/>
        <w:rPr>
          <w:rFonts w:ascii="Palatino Linotype" w:eastAsia="Palatino Linotype" w:hAnsi="Palatino Linotype" w:cs="Palatino Linotype"/>
          <w:b/>
        </w:rPr>
      </w:pPr>
      <w:r>
        <w:rPr>
          <w:rFonts w:ascii="Palatino Linotype" w:eastAsia="Palatino Linotype" w:hAnsi="Palatino Linotype" w:cs="Palatino Linotype"/>
          <w:b/>
          <w:sz w:val="24"/>
          <w:szCs w:val="24"/>
        </w:rPr>
        <w:t>________________</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On Evil</w:t>
      </w:r>
      <w:r>
        <w:rPr>
          <w:rFonts w:ascii="Palatino Linotype" w:eastAsia="Palatino Linotype" w:hAnsi="Palatino Linotype" w:cs="Palatino Linotype"/>
          <w:b/>
          <w:i/>
          <w:sz w:val="24"/>
          <w:szCs w:val="24"/>
        </w:rPr>
        <w:t xml:space="preserve"> </w:t>
      </w:r>
      <w:r>
        <w:rPr>
          <w:rFonts w:ascii="Palatino Linotype" w:eastAsia="Palatino Linotype" w:hAnsi="Palatino Linotype" w:cs="Palatino Linotype"/>
          <w:sz w:val="24"/>
          <w:szCs w:val="24"/>
        </w:rPr>
        <w:t>Question 13, esp. Article 4</w:t>
      </w:r>
    </w:p>
    <w:p w14:paraId="0000003F" w14:textId="77777777" w:rsidR="00D77828" w:rsidRDefault="00D77828">
      <w:pPr>
        <w:ind w:left="567" w:hanging="567"/>
        <w:rPr>
          <w:rFonts w:ascii="Palatino Linotype" w:eastAsia="Palatino Linotype" w:hAnsi="Palatino Linotype" w:cs="Palatino Linotype"/>
          <w:b/>
        </w:rPr>
      </w:pPr>
    </w:p>
    <w:p w14:paraId="00000040" w14:textId="77777777" w:rsidR="00D77828" w:rsidRDefault="00DF5AA9">
      <w:pPr>
        <w:ind w:left="567" w:hanging="567"/>
        <w:rPr>
          <w:rFonts w:ascii="Palatino Linotype" w:eastAsia="Palatino Linotype" w:hAnsi="Palatino Linotype" w:cs="Palatino Linotype"/>
          <w:b/>
          <w:i/>
        </w:rPr>
      </w:pPr>
      <w:r>
        <w:rPr>
          <w:rFonts w:ascii="Palatino Linotype" w:eastAsia="Palatino Linotype" w:hAnsi="Palatino Linotype" w:cs="Palatino Linotype"/>
          <w:b/>
          <w:i/>
        </w:rPr>
        <w:t>Background Secondary Texts:</w:t>
      </w:r>
    </w:p>
    <w:p w14:paraId="00000041" w14:textId="77777777" w:rsidR="00D77828" w:rsidRDefault="00DF5AA9">
      <w:pPr>
        <w:ind w:left="567" w:hanging="567"/>
        <w:rPr>
          <w:rFonts w:ascii="Palatino Linotype" w:eastAsia="Palatino Linotype" w:hAnsi="Palatino Linotype" w:cs="Palatino Linotype"/>
          <w:i/>
        </w:rPr>
      </w:pPr>
      <w:r>
        <w:rPr>
          <w:rFonts w:ascii="Palatino Linotype" w:eastAsia="Palatino Linotype" w:hAnsi="Palatino Linotype" w:cs="Palatino Linotype"/>
          <w:i/>
        </w:rPr>
        <w:t>On medieval arguments concerning usury:</w:t>
      </w:r>
    </w:p>
    <w:p w14:paraId="00000042"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Diana Wood</w:t>
      </w:r>
      <w:r>
        <w:rPr>
          <w:rFonts w:ascii="Palatino Linotype" w:eastAsia="Palatino Linotype" w:hAnsi="Palatino Linotype" w:cs="Palatino Linotype"/>
        </w:rPr>
        <w:t xml:space="preserve">, </w:t>
      </w:r>
      <w:r>
        <w:rPr>
          <w:rFonts w:ascii="Palatino Linotype" w:eastAsia="Palatino Linotype" w:hAnsi="Palatino Linotype" w:cs="Palatino Linotype"/>
          <w:i/>
        </w:rPr>
        <w:t>Medieval Economic Thought</w:t>
      </w:r>
      <w:r>
        <w:rPr>
          <w:rFonts w:ascii="Palatino Linotype" w:eastAsia="Palatino Linotype" w:hAnsi="Palatino Linotype" w:cs="Palatino Linotype"/>
        </w:rPr>
        <w:t xml:space="preserve"> (Cambridge: CUP, 2002), Chapters 3, 7 &amp; 8</w:t>
      </w:r>
      <w:r>
        <w:rPr>
          <w:rFonts w:ascii="Palatino Linotype" w:eastAsia="Palatino Linotype" w:hAnsi="Palatino Linotype" w:cs="Palatino Linotype"/>
          <w:vertAlign w:val="superscript"/>
        </w:rPr>
        <w:footnoteReference w:id="8"/>
      </w:r>
    </w:p>
    <w:p w14:paraId="00000043"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Odd Langholm</w:t>
      </w:r>
      <w:r>
        <w:rPr>
          <w:rFonts w:ascii="Palatino Linotype" w:eastAsia="Palatino Linotype" w:hAnsi="Palatino Linotype" w:cs="Palatino Linotype"/>
        </w:rPr>
        <w:t xml:space="preserve">, </w:t>
      </w:r>
      <w:r>
        <w:rPr>
          <w:rFonts w:ascii="Palatino Linotype" w:eastAsia="Palatino Linotype" w:hAnsi="Palatino Linotype" w:cs="Palatino Linotype"/>
          <w:i/>
        </w:rPr>
        <w:t>Economics in the Medieval Schools</w:t>
      </w:r>
      <w:r>
        <w:rPr>
          <w:rFonts w:ascii="Palatino Linotype" w:eastAsia="Palatino Linotype" w:hAnsi="Palatino Linotype" w:cs="Palatino Linotype"/>
        </w:rPr>
        <w:t xml:space="preserve"> (Leiden: Brill, 1992), esp. Chapters 3 &amp; 9</w:t>
      </w:r>
    </w:p>
    <w:p w14:paraId="00000044"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color w:val="44546A"/>
        </w:rPr>
        <w:t>______________</w:t>
      </w:r>
      <w:r>
        <w:rPr>
          <w:rFonts w:ascii="Palatino Linotype" w:eastAsia="Palatino Linotype" w:hAnsi="Palatino Linotype" w:cs="Palatino Linotype"/>
          <w:color w:val="44546A"/>
        </w:rPr>
        <w:t xml:space="preserve">, </w:t>
      </w:r>
      <w:r>
        <w:rPr>
          <w:rFonts w:ascii="Palatino Linotype" w:eastAsia="Palatino Linotype" w:hAnsi="Palatino Linotype" w:cs="Palatino Linotype"/>
          <w:i/>
          <w:color w:val="44546A"/>
        </w:rPr>
        <w:t>The Legacy of Scholasticism in Economic Thought</w:t>
      </w:r>
      <w:r>
        <w:rPr>
          <w:rFonts w:ascii="Palatino Linotype" w:eastAsia="Palatino Linotype" w:hAnsi="Palatino Linotype" w:cs="Palatino Linotype"/>
          <w:color w:val="44546A"/>
        </w:rPr>
        <w:t xml:space="preserve"> (Cambridge: CUP, 1998), esp. Part 1 (esp. Chapter 1, but perhaps also Chapters 2 and 3) and Chapter 4</w:t>
      </w:r>
    </w:p>
    <w:p w14:paraId="00000045"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Irina Chaplygina &amp; André Lapidus</w:t>
      </w:r>
      <w:r>
        <w:rPr>
          <w:rFonts w:ascii="Palatino Linotype" w:eastAsia="Palatino Linotype" w:hAnsi="Palatino Linotype" w:cs="Palatino Linotype"/>
        </w:rPr>
        <w:t xml:space="preserve">, ‘Economic Thought in Scholasticism’ in G. Faccarello &amp; H. Kurz (eds.), </w:t>
      </w:r>
      <w:r>
        <w:rPr>
          <w:rFonts w:ascii="Palatino Linotype" w:eastAsia="Palatino Linotype" w:hAnsi="Palatino Linotype" w:cs="Palatino Linotype"/>
          <w:i/>
        </w:rPr>
        <w:t>Handbook on the History of Economic Analysis</w:t>
      </w:r>
      <w:r>
        <w:rPr>
          <w:rFonts w:ascii="Palatino Linotype" w:eastAsia="Palatino Linotype" w:hAnsi="Palatino Linotype" w:cs="Palatino Linotype"/>
        </w:rPr>
        <w:t xml:space="preserve">, Cheltenham (UK) / Northampton (USA): Routledge, vol. 2, pp. 20-42 (2016). Pre-print download available from: </w:t>
      </w:r>
      <w:hyperlink r:id="rId8">
        <w:r>
          <w:rPr>
            <w:rFonts w:ascii="Palatino Linotype" w:eastAsia="Palatino Linotype" w:hAnsi="Palatino Linotype" w:cs="Palatino Linotype"/>
            <w:color w:val="0563C1"/>
            <w:u w:val="single"/>
          </w:rPr>
          <w:t>https://hal-paris1.archives-ouvertes.fr/hal-01619017/document</w:t>
        </w:r>
      </w:hyperlink>
    </w:p>
    <w:p w14:paraId="00000046" w14:textId="77777777" w:rsidR="00D77828" w:rsidRDefault="00D77828">
      <w:pPr>
        <w:rPr>
          <w:rFonts w:ascii="Palatino Linotype" w:eastAsia="Palatino Linotype" w:hAnsi="Palatino Linotype" w:cs="Palatino Linotype"/>
          <w:b/>
        </w:rPr>
      </w:pPr>
    </w:p>
    <w:p w14:paraId="00000047" w14:textId="77777777" w:rsidR="00D77828" w:rsidRDefault="00DF5AA9">
      <w:pPr>
        <w:ind w:left="567" w:hanging="567"/>
        <w:rPr>
          <w:rFonts w:ascii="Palatino Linotype" w:eastAsia="Palatino Linotype" w:hAnsi="Palatino Linotype" w:cs="Palatino Linotype"/>
          <w:b/>
          <w:i/>
        </w:rPr>
      </w:pPr>
      <w:r>
        <w:rPr>
          <w:rFonts w:ascii="Palatino Linotype" w:eastAsia="Palatino Linotype" w:hAnsi="Palatino Linotype" w:cs="Palatino Linotype"/>
          <w:b/>
          <w:i/>
        </w:rPr>
        <w:t>Further Reading:</w:t>
      </w:r>
    </w:p>
    <w:p w14:paraId="00000048" w14:textId="77777777" w:rsidR="00D77828" w:rsidRDefault="00DF5AA9">
      <w:pPr>
        <w:ind w:left="567" w:hanging="567"/>
        <w:rPr>
          <w:rFonts w:ascii="Palatino Linotype" w:eastAsia="Palatino Linotype" w:hAnsi="Palatino Linotype" w:cs="Palatino Linotype"/>
          <w:i/>
        </w:rPr>
      </w:pPr>
      <w:r>
        <w:rPr>
          <w:rFonts w:ascii="Palatino Linotype" w:eastAsia="Palatino Linotype" w:hAnsi="Palatino Linotype" w:cs="Palatino Linotype"/>
          <w:i/>
        </w:rPr>
        <w:t>On usury:</w:t>
      </w:r>
    </w:p>
    <w:p w14:paraId="00000049"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Fabio Monsalve</w:t>
      </w:r>
      <w:r>
        <w:rPr>
          <w:rFonts w:ascii="Palatino Linotype" w:eastAsia="Palatino Linotype" w:hAnsi="Palatino Linotype" w:cs="Palatino Linotype"/>
        </w:rPr>
        <w:t xml:space="preserve">, ‘Late Spanish Doctors on Usury, and the Evolving Scholastic Tradition’, </w:t>
      </w:r>
      <w:r>
        <w:rPr>
          <w:rFonts w:ascii="Palatino Linotype" w:eastAsia="Palatino Linotype" w:hAnsi="Palatino Linotype" w:cs="Palatino Linotype"/>
          <w:i/>
        </w:rPr>
        <w:t>Journal of the History of Economic Thought</w:t>
      </w:r>
      <w:r>
        <w:rPr>
          <w:rFonts w:ascii="Palatino Linotype" w:eastAsia="Palatino Linotype" w:hAnsi="Palatino Linotype" w:cs="Palatino Linotype"/>
        </w:rPr>
        <w:t xml:space="preserve"> 26:2 (2014), pp. 215-35</w:t>
      </w:r>
    </w:p>
    <w:p w14:paraId="0000004A" w14:textId="77777777" w:rsidR="00D77828" w:rsidRDefault="00DF5AA9">
      <w:pPr>
        <w:ind w:left="709"/>
        <w:rPr>
          <w:rFonts w:ascii="Palatino Linotype" w:eastAsia="Palatino Linotype" w:hAnsi="Palatino Linotype" w:cs="Palatino Linotype"/>
        </w:rPr>
      </w:pPr>
      <w:r>
        <w:rPr>
          <w:rFonts w:ascii="Palatino Linotype" w:eastAsia="Palatino Linotype" w:hAnsi="Palatino Linotype" w:cs="Palatino Linotype"/>
        </w:rPr>
        <w:t xml:space="preserve">This paper discusses the arguments of some later scholastic philosophers, writing quite some time after Aquinas, and looks at the ways in which the common arguments we will study evolved – so it takes the story right up to the end of the period in which these arguments were taken seriously. </w:t>
      </w:r>
    </w:p>
    <w:p w14:paraId="0000004B"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Adrian Walsh</w:t>
      </w:r>
      <w:r>
        <w:rPr>
          <w:rFonts w:ascii="Palatino Linotype" w:eastAsia="Palatino Linotype" w:hAnsi="Palatino Linotype" w:cs="Palatino Linotype"/>
        </w:rPr>
        <w:t xml:space="preserve">, ‘The Morality of the Market and the Medieval Schoolmen’, </w:t>
      </w:r>
      <w:r>
        <w:rPr>
          <w:rFonts w:ascii="Palatino Linotype" w:eastAsia="Palatino Linotype" w:hAnsi="Palatino Linotype" w:cs="Palatino Linotype"/>
          <w:i/>
        </w:rPr>
        <w:t>Politics, Philosophy and Economics</w:t>
      </w:r>
      <w:r>
        <w:rPr>
          <w:rFonts w:ascii="Palatino Linotype" w:eastAsia="Palatino Linotype" w:hAnsi="Palatino Linotype" w:cs="Palatino Linotype"/>
        </w:rPr>
        <w:t xml:space="preserve"> 3:2 (2004), pp. 241-59</w:t>
      </w:r>
    </w:p>
    <w:p w14:paraId="0000004C" w14:textId="77777777" w:rsidR="00D77828" w:rsidRDefault="00DF5AA9">
      <w:pPr>
        <w:ind w:left="709"/>
        <w:rPr>
          <w:rFonts w:ascii="Palatino Linotype" w:eastAsia="Palatino Linotype" w:hAnsi="Palatino Linotype" w:cs="Palatino Linotype"/>
        </w:rPr>
      </w:pPr>
      <w:r>
        <w:rPr>
          <w:rFonts w:ascii="Palatino Linotype" w:eastAsia="Palatino Linotype" w:hAnsi="Palatino Linotype" w:cs="Palatino Linotype"/>
        </w:rPr>
        <w:t>This paper doesn’t really go any deeper into the medieval arguments than the background secondary sources do, so it can be used simply as background reading on those arguments; but it does go beyond them in that it argues for the relevance of those arguments to current debates about the morality of markets.</w:t>
      </w:r>
    </w:p>
    <w:p w14:paraId="0000004D"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Jeremy Bentham</w:t>
      </w:r>
      <w:r>
        <w:rPr>
          <w:rFonts w:ascii="Palatino Linotype" w:eastAsia="Palatino Linotype" w:hAnsi="Palatino Linotype" w:cs="Palatino Linotype"/>
        </w:rPr>
        <w:t xml:space="preserve">, ‘Defence of Usury’ [1787], available at: </w:t>
      </w:r>
      <w:hyperlink r:id="rId9">
        <w:r>
          <w:rPr>
            <w:rFonts w:ascii="Palatino Linotype" w:eastAsia="Palatino Linotype" w:hAnsi="Palatino Linotype" w:cs="Palatino Linotype"/>
            <w:color w:val="0563C1"/>
            <w:u w:val="single"/>
          </w:rPr>
          <w:t>file:///C:/Users/User/Google%20Drive/History%20of%20Ethics/Bentham%20Defence%20of%20Usury.pdf</w:t>
        </w:r>
      </w:hyperlink>
    </w:p>
    <w:p w14:paraId="0000004E" w14:textId="77777777" w:rsidR="00D77828" w:rsidRDefault="00D77828">
      <w:pPr>
        <w:rPr>
          <w:rFonts w:ascii="Palatino Linotype" w:eastAsia="Palatino Linotype" w:hAnsi="Palatino Linotype" w:cs="Palatino Linotype"/>
          <w:i/>
        </w:rPr>
      </w:pPr>
    </w:p>
    <w:p w14:paraId="0000004F"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i/>
        </w:rPr>
        <w:t>On Aristotle on the will:</w:t>
      </w:r>
    </w:p>
    <w:p w14:paraId="00000050" w14:textId="77777777" w:rsidR="00D77828" w:rsidRDefault="00DF5AA9">
      <w:pPr>
        <w:ind w:left="567" w:hanging="567"/>
        <w:rPr>
          <w:rFonts w:ascii="Palatino Linotype" w:eastAsia="Palatino Linotype" w:hAnsi="Palatino Linotype" w:cs="Palatino Linotype"/>
          <w:b/>
        </w:rPr>
      </w:pPr>
      <w:r>
        <w:rPr>
          <w:rFonts w:ascii="Palatino Linotype" w:eastAsia="Palatino Linotype" w:hAnsi="Palatino Linotype" w:cs="Palatino Linotype"/>
          <w:b/>
        </w:rPr>
        <w:t>Sarah Broadie</w:t>
      </w:r>
      <w:r>
        <w:rPr>
          <w:rFonts w:ascii="Palatino Linotype" w:eastAsia="Palatino Linotype" w:hAnsi="Palatino Linotype" w:cs="Palatino Linotype"/>
        </w:rPr>
        <w:t xml:space="preserve">, </w:t>
      </w:r>
      <w:r>
        <w:rPr>
          <w:rFonts w:ascii="Palatino Linotype" w:eastAsia="Palatino Linotype" w:hAnsi="Palatino Linotype" w:cs="Palatino Linotype"/>
          <w:i/>
        </w:rPr>
        <w:t>Ethics with Aristotle</w:t>
      </w:r>
      <w:r>
        <w:rPr>
          <w:rFonts w:ascii="Palatino Linotype" w:eastAsia="Palatino Linotype" w:hAnsi="Palatino Linotype" w:cs="Palatino Linotype"/>
        </w:rPr>
        <w:t xml:space="preserve"> (Oxford: OUP, 1994), Chapter 3</w:t>
      </w:r>
    </w:p>
    <w:p w14:paraId="00000051"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Richard Sorabji</w:t>
      </w:r>
      <w:r>
        <w:rPr>
          <w:rFonts w:ascii="Palatino Linotype" w:eastAsia="Palatino Linotype" w:hAnsi="Palatino Linotype" w:cs="Palatino Linotype"/>
        </w:rPr>
        <w:t xml:space="preserve">, </w:t>
      </w:r>
      <w:r>
        <w:rPr>
          <w:rFonts w:ascii="Palatino Linotype" w:eastAsia="Palatino Linotype" w:hAnsi="Palatino Linotype" w:cs="Palatino Linotype"/>
          <w:i/>
        </w:rPr>
        <w:t>Necessity, Cause, and Blame: Perspectives on Aristotle’s Theory</w:t>
      </w:r>
      <w:r>
        <w:rPr>
          <w:rFonts w:ascii="Palatino Linotype" w:eastAsia="Palatino Linotype" w:hAnsi="Palatino Linotype" w:cs="Palatino Linotype"/>
        </w:rPr>
        <w:t xml:space="preserve"> (London: Duckworth, 1980), Chapter 14 (also, perhaps, Chapter 2 and even 3)</w:t>
      </w:r>
    </w:p>
    <w:p w14:paraId="00000052"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i/>
        </w:rPr>
        <w:t>On Aquinas on the will:</w:t>
      </w:r>
    </w:p>
    <w:p w14:paraId="00000053"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Eleanor Stump</w:t>
      </w:r>
      <w:r>
        <w:rPr>
          <w:rFonts w:ascii="Palatino Linotype" w:eastAsia="Palatino Linotype" w:hAnsi="Palatino Linotype" w:cs="Palatino Linotype"/>
        </w:rPr>
        <w:t xml:space="preserve">, ‘Aquinas’s Account of Freedom: Intellect and Will’, </w:t>
      </w:r>
      <w:r>
        <w:rPr>
          <w:rFonts w:ascii="Palatino Linotype" w:eastAsia="Palatino Linotype" w:hAnsi="Palatino Linotype" w:cs="Palatino Linotype"/>
          <w:i/>
        </w:rPr>
        <w:t>The Monist</w:t>
      </w:r>
      <w:r>
        <w:rPr>
          <w:rFonts w:ascii="Palatino Linotype" w:eastAsia="Palatino Linotype" w:hAnsi="Palatino Linotype" w:cs="Palatino Linotype"/>
        </w:rPr>
        <w:t xml:space="preserve"> 80:4 (1997), pp. 576-97</w:t>
      </w:r>
    </w:p>
    <w:p w14:paraId="00000054" w14:textId="77777777" w:rsidR="00D77828" w:rsidRDefault="00D77828">
      <w:pPr>
        <w:rPr>
          <w:rFonts w:ascii="Palatino Linotype" w:eastAsia="Palatino Linotype" w:hAnsi="Palatino Linotype" w:cs="Palatino Linotype"/>
          <w:b/>
        </w:rPr>
      </w:pPr>
    </w:p>
    <w:p w14:paraId="00000055" w14:textId="77777777" w:rsidR="00D77828" w:rsidRDefault="00D77828">
      <w:pPr>
        <w:rPr>
          <w:rFonts w:ascii="Palatino Linotype" w:eastAsia="Palatino Linotype" w:hAnsi="Palatino Linotype" w:cs="Palatino Linotype"/>
          <w:b/>
        </w:rPr>
      </w:pPr>
    </w:p>
    <w:p w14:paraId="00000056" w14:textId="77777777" w:rsidR="00D77828" w:rsidRDefault="00D77828">
      <w:pPr>
        <w:rPr>
          <w:rFonts w:ascii="Palatino Linotype" w:eastAsia="Palatino Linotype" w:hAnsi="Palatino Linotype" w:cs="Palatino Linotype"/>
          <w:b/>
        </w:rPr>
      </w:pPr>
    </w:p>
    <w:p w14:paraId="00000057" w14:textId="77777777" w:rsidR="00D77828" w:rsidRDefault="00DF5AA9">
      <w:pPr>
        <w:ind w:left="567" w:hanging="567"/>
        <w:rPr>
          <w:rFonts w:ascii="Palatino Linotype" w:eastAsia="Palatino Linotype" w:hAnsi="Palatino Linotype" w:cs="Palatino Linotype"/>
          <w:b/>
          <w:smallCaps/>
          <w:sz w:val="28"/>
          <w:szCs w:val="28"/>
        </w:rPr>
      </w:pPr>
      <w:r>
        <w:rPr>
          <w:rFonts w:ascii="Palatino Linotype" w:eastAsia="Palatino Linotype" w:hAnsi="Palatino Linotype" w:cs="Palatino Linotype"/>
          <w:b/>
          <w:smallCaps/>
          <w:sz w:val="28"/>
          <w:szCs w:val="28"/>
        </w:rPr>
        <w:t>Courage: Objectivity and the Unity of the Virtues</w:t>
      </w:r>
    </w:p>
    <w:p w14:paraId="00000058" w14:textId="77777777" w:rsidR="00D77828" w:rsidRDefault="00D77828">
      <w:pPr>
        <w:ind w:left="567" w:hanging="567"/>
        <w:rPr>
          <w:rFonts w:ascii="Palatino Linotype" w:eastAsia="Palatino Linotype" w:hAnsi="Palatino Linotype" w:cs="Palatino Linotype"/>
          <w:smallCaps/>
        </w:rPr>
      </w:pPr>
    </w:p>
    <w:p w14:paraId="00000059" w14:textId="77777777" w:rsidR="00D77828" w:rsidRDefault="00DF5AA9">
      <w:pPr>
        <w:ind w:left="567" w:hanging="567"/>
        <w:rPr>
          <w:rFonts w:ascii="Palatino Linotype" w:eastAsia="Palatino Linotype" w:hAnsi="Palatino Linotype" w:cs="Palatino Linotype"/>
          <w:b/>
          <w:i/>
        </w:rPr>
      </w:pPr>
      <w:r>
        <w:rPr>
          <w:rFonts w:ascii="Palatino Linotype" w:eastAsia="Palatino Linotype" w:hAnsi="Palatino Linotype" w:cs="Palatino Linotype"/>
          <w:b/>
          <w:i/>
        </w:rPr>
        <w:t>Background Primary Texts:</w:t>
      </w:r>
    </w:p>
    <w:p w14:paraId="0000005A" w14:textId="77777777" w:rsidR="00D77828" w:rsidRDefault="00DF5AA9">
      <w:pPr>
        <w:ind w:left="567" w:hanging="567"/>
        <w:rPr>
          <w:rFonts w:ascii="Palatino Linotype" w:eastAsia="Palatino Linotype" w:hAnsi="Palatino Linotype" w:cs="Palatino Linotype"/>
          <w:i/>
        </w:rPr>
      </w:pPr>
      <w:r>
        <w:rPr>
          <w:rFonts w:ascii="Palatino Linotype" w:eastAsia="Palatino Linotype" w:hAnsi="Palatino Linotype" w:cs="Palatino Linotype"/>
          <w:b/>
        </w:rPr>
        <w:t>Plato</w:t>
      </w:r>
      <w:r>
        <w:rPr>
          <w:rFonts w:ascii="Palatino Linotype" w:eastAsia="Palatino Linotype" w:hAnsi="Palatino Linotype" w:cs="Palatino Linotype"/>
        </w:rPr>
        <w:t xml:space="preserve">, </w:t>
      </w:r>
      <w:r>
        <w:rPr>
          <w:rFonts w:ascii="Palatino Linotype" w:eastAsia="Palatino Linotype" w:hAnsi="Palatino Linotype" w:cs="Palatino Linotype"/>
          <w:i/>
        </w:rPr>
        <w:t>Laches</w:t>
      </w:r>
    </w:p>
    <w:p w14:paraId="0000005B" w14:textId="77777777" w:rsidR="00D77828" w:rsidRDefault="00DF5AA9">
      <w:pPr>
        <w:ind w:left="567"/>
        <w:rPr>
          <w:rFonts w:ascii="Palatino Linotype" w:eastAsia="Palatino Linotype" w:hAnsi="Palatino Linotype" w:cs="Palatino Linotype"/>
        </w:rPr>
      </w:pPr>
      <w:r>
        <w:rPr>
          <w:rFonts w:ascii="Palatino Linotype" w:eastAsia="Palatino Linotype" w:hAnsi="Palatino Linotype" w:cs="Palatino Linotype"/>
        </w:rPr>
        <w:t xml:space="preserve">This dialogue is available in </w:t>
      </w:r>
      <w:r>
        <w:rPr>
          <w:rFonts w:ascii="Palatino Linotype" w:eastAsia="Palatino Linotype" w:hAnsi="Palatino Linotype" w:cs="Palatino Linotype"/>
          <w:i/>
        </w:rPr>
        <w:t xml:space="preserve">The Dialogues of Plato, vol. 3: Ion, Hippias Minor, Laches, Protagoras </w:t>
      </w:r>
      <w:r>
        <w:rPr>
          <w:rFonts w:ascii="Palatino Linotype" w:eastAsia="Palatino Linotype" w:hAnsi="Palatino Linotype" w:cs="Palatino Linotype"/>
        </w:rPr>
        <w:t xml:space="preserve">(trans. with commentary by R. E. Allen, New Haven: Yale University Press, 1996), available online via the library. Obviously, the commentary included in this version is a good piece of secondary reading. </w:t>
      </w:r>
    </w:p>
    <w:p w14:paraId="0000005C" w14:textId="77777777" w:rsidR="00D77828" w:rsidRDefault="00D77828">
      <w:pPr>
        <w:rPr>
          <w:rFonts w:ascii="Palatino Linotype" w:eastAsia="Palatino Linotype" w:hAnsi="Palatino Linotype" w:cs="Palatino Linotype"/>
          <w:b/>
          <w:i/>
        </w:rPr>
      </w:pPr>
    </w:p>
    <w:p w14:paraId="0000005D" w14:textId="77777777" w:rsidR="00D77828" w:rsidRDefault="00DF5AA9">
      <w:pPr>
        <w:ind w:left="567" w:hanging="567"/>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Essential Primary Texts:</w:t>
      </w:r>
    </w:p>
    <w:p w14:paraId="0000005E" w14:textId="77777777" w:rsidR="00D77828" w:rsidRDefault="00DF5AA9">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Plato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Republic</w:t>
      </w:r>
      <w:r>
        <w:rPr>
          <w:rFonts w:ascii="Palatino Linotype" w:eastAsia="Palatino Linotype" w:hAnsi="Palatino Linotype" w:cs="Palatino Linotype"/>
          <w:sz w:val="24"/>
          <w:szCs w:val="24"/>
        </w:rPr>
        <w:t xml:space="preserve"> Book IV (esp. 433-444e) (courage in particular is discussed at 442)</w:t>
      </w:r>
    </w:p>
    <w:p w14:paraId="0000005F" w14:textId="77777777" w:rsidR="00D77828" w:rsidRDefault="00DF5AA9">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____</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Protagoras</w:t>
      </w:r>
      <w:r>
        <w:rPr>
          <w:rFonts w:ascii="Palatino Linotype" w:eastAsia="Palatino Linotype" w:hAnsi="Palatino Linotype" w:cs="Palatino Linotype"/>
          <w:sz w:val="24"/>
          <w:szCs w:val="24"/>
        </w:rPr>
        <w:t xml:space="preserve"> (esp. 329a-334c and 349a-362)</w:t>
      </w:r>
    </w:p>
    <w:p w14:paraId="00000060" w14:textId="77777777" w:rsidR="00D77828" w:rsidRDefault="00DF5AA9">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Aristotle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Eudemian Ethics</w:t>
      </w:r>
      <w:r>
        <w:rPr>
          <w:rFonts w:ascii="Palatino Linotype" w:eastAsia="Palatino Linotype" w:hAnsi="Palatino Linotype" w:cs="Palatino Linotype"/>
          <w:sz w:val="24"/>
          <w:szCs w:val="24"/>
        </w:rPr>
        <w:t xml:space="preserve"> Book IV (esp. 1228b4-1230a38)</w:t>
      </w:r>
    </w:p>
    <w:p w14:paraId="00000061" w14:textId="77777777" w:rsidR="00D77828" w:rsidRDefault="00DF5AA9">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________</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Nicomachean Ethics</w:t>
      </w:r>
      <w:r>
        <w:rPr>
          <w:rFonts w:ascii="Palatino Linotype" w:eastAsia="Palatino Linotype" w:hAnsi="Palatino Linotype" w:cs="Palatino Linotype"/>
          <w:sz w:val="24"/>
          <w:szCs w:val="24"/>
        </w:rPr>
        <w:t xml:space="preserve"> Book IV (esp. 1115a5-1117b22)</w:t>
      </w:r>
    </w:p>
    <w:p w14:paraId="00000062" w14:textId="77777777" w:rsidR="00D77828" w:rsidRDefault="00DF5AA9">
      <w:pPr>
        <w:ind w:left="567"/>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The best texts to use for our purposes are the versions of the </w:t>
      </w:r>
      <w:r>
        <w:rPr>
          <w:rFonts w:ascii="Palatino Linotype" w:eastAsia="Palatino Linotype" w:hAnsi="Palatino Linotype" w:cs="Palatino Linotype"/>
          <w:i/>
          <w:sz w:val="24"/>
          <w:szCs w:val="24"/>
        </w:rPr>
        <w:t>Eudemian Ethics</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EE</w:t>
      </w:r>
      <w:r>
        <w:rPr>
          <w:rFonts w:ascii="Palatino Linotype" w:eastAsia="Palatino Linotype" w:hAnsi="Palatino Linotype" w:cs="Palatino Linotype"/>
          <w:sz w:val="24"/>
          <w:szCs w:val="24"/>
        </w:rPr>
        <w:t>) and the Nicomachean Ethics (</w:t>
      </w:r>
      <w:r>
        <w:rPr>
          <w:rFonts w:ascii="Palatino Linotype" w:eastAsia="Palatino Linotype" w:hAnsi="Palatino Linotype" w:cs="Palatino Linotype"/>
          <w:i/>
          <w:sz w:val="24"/>
          <w:szCs w:val="24"/>
        </w:rPr>
        <w:t>NE</w:t>
      </w:r>
      <w:r>
        <w:rPr>
          <w:rFonts w:ascii="Palatino Linotype" w:eastAsia="Palatino Linotype" w:hAnsi="Palatino Linotype" w:cs="Palatino Linotype"/>
          <w:sz w:val="24"/>
          <w:szCs w:val="24"/>
        </w:rPr>
        <w:t xml:space="preserve">) in J. Barnes &amp; A. Kenny eds., </w:t>
      </w:r>
      <w:r>
        <w:rPr>
          <w:rFonts w:ascii="Palatino Linotype" w:eastAsia="Palatino Linotype" w:hAnsi="Palatino Linotype" w:cs="Palatino Linotype"/>
          <w:i/>
          <w:sz w:val="24"/>
          <w:szCs w:val="24"/>
        </w:rPr>
        <w:t>Aristotle’s Ethics: Writings from the Complete Works</w:t>
      </w:r>
      <w:r>
        <w:rPr>
          <w:rFonts w:ascii="Palatino Linotype" w:eastAsia="Palatino Linotype" w:hAnsi="Palatino Linotype" w:cs="Palatino Linotype"/>
          <w:sz w:val="24"/>
          <w:szCs w:val="24"/>
        </w:rPr>
        <w:t xml:space="preserve"> (Princeton &amp; Oxford: Princeton University Press, 2014), available online via the Library.</w:t>
      </w:r>
    </w:p>
    <w:p w14:paraId="00000063"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sz w:val="24"/>
          <w:szCs w:val="24"/>
        </w:rPr>
        <w:t>Cicero</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On Obligations (De Officiis)</w:t>
      </w:r>
      <w:r>
        <w:rPr>
          <w:rFonts w:ascii="Palatino Linotype" w:eastAsia="Palatino Linotype" w:hAnsi="Palatino Linotype" w:cs="Palatino Linotype"/>
          <w:sz w:val="24"/>
          <w:szCs w:val="24"/>
        </w:rPr>
        <w:t>, Book I (esp. 61-69)</w:t>
      </w:r>
    </w:p>
    <w:p w14:paraId="00000064" w14:textId="77777777" w:rsidR="00D77828" w:rsidRDefault="00D77828">
      <w:pPr>
        <w:rPr>
          <w:rFonts w:ascii="Palatino Linotype" w:eastAsia="Palatino Linotype" w:hAnsi="Palatino Linotype" w:cs="Palatino Linotype"/>
        </w:rPr>
      </w:pPr>
    </w:p>
    <w:p w14:paraId="00000065" w14:textId="77777777" w:rsidR="00D77828" w:rsidRDefault="00DF5AA9">
      <w:pPr>
        <w:ind w:left="567" w:hanging="567"/>
        <w:rPr>
          <w:rFonts w:ascii="Palatino Linotype" w:eastAsia="Palatino Linotype" w:hAnsi="Palatino Linotype" w:cs="Palatino Linotype"/>
          <w:b/>
          <w:i/>
        </w:rPr>
      </w:pPr>
      <w:r>
        <w:rPr>
          <w:rFonts w:ascii="Palatino Linotype" w:eastAsia="Palatino Linotype" w:hAnsi="Palatino Linotype" w:cs="Palatino Linotype"/>
          <w:b/>
          <w:i/>
        </w:rPr>
        <w:t>Further Reading:</w:t>
      </w:r>
    </w:p>
    <w:p w14:paraId="00000066"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Daniel Devereux</w:t>
      </w:r>
      <w:r>
        <w:rPr>
          <w:rFonts w:ascii="Palatino Linotype" w:eastAsia="Palatino Linotype" w:hAnsi="Palatino Linotype" w:cs="Palatino Linotype"/>
        </w:rPr>
        <w:t xml:space="preserve">, ‘Courage and Wisdom in Plato’s </w:t>
      </w:r>
      <w:r>
        <w:rPr>
          <w:rFonts w:ascii="Palatino Linotype" w:eastAsia="Palatino Linotype" w:hAnsi="Palatino Linotype" w:cs="Palatino Linotype"/>
          <w:i/>
        </w:rPr>
        <w:t>Laches</w:t>
      </w:r>
      <w:r>
        <w:rPr>
          <w:rFonts w:ascii="Palatino Linotype" w:eastAsia="Palatino Linotype" w:hAnsi="Palatino Linotype" w:cs="Palatino Linotype"/>
        </w:rPr>
        <w:t xml:space="preserve">’, </w:t>
      </w:r>
      <w:r>
        <w:rPr>
          <w:rFonts w:ascii="Palatino Linotype" w:eastAsia="Palatino Linotype" w:hAnsi="Palatino Linotype" w:cs="Palatino Linotype"/>
          <w:i/>
        </w:rPr>
        <w:t>Journal of the History of Philosophy</w:t>
      </w:r>
      <w:r>
        <w:rPr>
          <w:rFonts w:ascii="Palatino Linotype" w:eastAsia="Palatino Linotype" w:hAnsi="Palatino Linotype" w:cs="Palatino Linotype"/>
        </w:rPr>
        <w:t xml:space="preserve"> 15:2 (1977), pp. 129-41</w:t>
      </w:r>
    </w:p>
    <w:p w14:paraId="00000067"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Roger Duncan</w:t>
      </w:r>
      <w:r>
        <w:rPr>
          <w:rFonts w:ascii="Palatino Linotype" w:eastAsia="Palatino Linotype" w:hAnsi="Palatino Linotype" w:cs="Palatino Linotype"/>
        </w:rPr>
        <w:t xml:space="preserve">, ‘Courage in Plato’s </w:t>
      </w:r>
      <w:r>
        <w:rPr>
          <w:rFonts w:ascii="Palatino Linotype" w:eastAsia="Palatino Linotype" w:hAnsi="Palatino Linotype" w:cs="Palatino Linotype"/>
          <w:i/>
        </w:rPr>
        <w:t>Protagoras</w:t>
      </w:r>
      <w:r>
        <w:rPr>
          <w:rFonts w:ascii="Palatino Linotype" w:eastAsia="Palatino Linotype" w:hAnsi="Palatino Linotype" w:cs="Palatino Linotype"/>
        </w:rPr>
        <w:t xml:space="preserve">’, </w:t>
      </w:r>
      <w:r>
        <w:rPr>
          <w:rFonts w:ascii="Palatino Linotype" w:eastAsia="Palatino Linotype" w:hAnsi="Palatino Linotype" w:cs="Palatino Linotype"/>
          <w:i/>
        </w:rPr>
        <w:t>Phronesis</w:t>
      </w:r>
      <w:r>
        <w:rPr>
          <w:rFonts w:ascii="Palatino Linotype" w:eastAsia="Palatino Linotype" w:hAnsi="Palatino Linotype" w:cs="Palatino Linotype"/>
        </w:rPr>
        <w:t xml:space="preserve"> 23:3 (1978), pp. 216-28</w:t>
      </w:r>
    </w:p>
    <w:p w14:paraId="00000068"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Terence Irwin</w:t>
      </w:r>
      <w:r>
        <w:rPr>
          <w:rFonts w:ascii="Palatino Linotype" w:eastAsia="Palatino Linotype" w:hAnsi="Palatino Linotype" w:cs="Palatino Linotype"/>
        </w:rPr>
        <w:t xml:space="preserve">, </w:t>
      </w:r>
      <w:r>
        <w:rPr>
          <w:rFonts w:ascii="Palatino Linotype" w:eastAsia="Palatino Linotype" w:hAnsi="Palatino Linotype" w:cs="Palatino Linotype"/>
          <w:i/>
        </w:rPr>
        <w:t>Plato’s Ethics</w:t>
      </w:r>
      <w:r>
        <w:rPr>
          <w:rFonts w:ascii="Palatino Linotype" w:eastAsia="Palatino Linotype" w:hAnsi="Palatino Linotype" w:cs="Palatino Linotype"/>
        </w:rPr>
        <w:t xml:space="preserve"> (Oxford: OUP, 1995), Chapter 4</w:t>
      </w:r>
    </w:p>
    <w:p w14:paraId="00000069"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Gregory Vlastos</w:t>
      </w:r>
      <w:r>
        <w:rPr>
          <w:rFonts w:ascii="Palatino Linotype" w:eastAsia="Palatino Linotype" w:hAnsi="Palatino Linotype" w:cs="Palatino Linotype"/>
        </w:rPr>
        <w:t xml:space="preserve">, ‘The Unity of the Virtues in the </w:t>
      </w:r>
      <w:r>
        <w:rPr>
          <w:rFonts w:ascii="Palatino Linotype" w:eastAsia="Palatino Linotype" w:hAnsi="Palatino Linotype" w:cs="Palatino Linotype"/>
          <w:i/>
        </w:rPr>
        <w:t>Protagoras</w:t>
      </w:r>
      <w:r>
        <w:rPr>
          <w:rFonts w:ascii="Palatino Linotype" w:eastAsia="Palatino Linotype" w:hAnsi="Palatino Linotype" w:cs="Palatino Linotype"/>
        </w:rPr>
        <w:t xml:space="preserve">’, </w:t>
      </w:r>
      <w:r>
        <w:rPr>
          <w:rFonts w:ascii="Palatino Linotype" w:eastAsia="Palatino Linotype" w:hAnsi="Palatino Linotype" w:cs="Palatino Linotype"/>
          <w:i/>
        </w:rPr>
        <w:t>The Review of Metaphysics</w:t>
      </w:r>
      <w:r>
        <w:rPr>
          <w:rFonts w:ascii="Palatino Linotype" w:eastAsia="Palatino Linotype" w:hAnsi="Palatino Linotype" w:cs="Palatino Linotype"/>
        </w:rPr>
        <w:t xml:space="preserve"> 25:3 (1972), pp. 415-58</w:t>
      </w:r>
    </w:p>
    <w:p w14:paraId="0000006A" w14:textId="77777777" w:rsidR="00D77828" w:rsidRDefault="00DF5AA9">
      <w:pPr>
        <w:ind w:left="709"/>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The four items above deal with the interpretation and criticism of Plato’s ideas about our topic and related topics. The following item, by Hume, is for a very different purpose: in the lecture I will argue that even if we move away from strongly objectivist ideas about the good, our </w:t>
      </w:r>
      <w:r>
        <w:rPr>
          <w:rFonts w:ascii="Palatino Linotype" w:eastAsia="Palatino Linotype" w:hAnsi="Palatino Linotype" w:cs="Palatino Linotype"/>
          <w:i/>
          <w:sz w:val="20"/>
          <w:szCs w:val="20"/>
        </w:rPr>
        <w:t>judgements</w:t>
      </w:r>
      <w:r>
        <w:rPr>
          <w:rFonts w:ascii="Palatino Linotype" w:eastAsia="Palatino Linotype" w:hAnsi="Palatino Linotype" w:cs="Palatino Linotype"/>
          <w:sz w:val="20"/>
          <w:szCs w:val="20"/>
        </w:rPr>
        <w:t xml:space="preserve"> about the virtues (understood in a broad sense) might still depending upon </w:t>
      </w:r>
      <w:r>
        <w:rPr>
          <w:rFonts w:ascii="Palatino Linotype" w:eastAsia="Palatino Linotype" w:hAnsi="Palatino Linotype" w:cs="Palatino Linotype"/>
          <w:i/>
          <w:sz w:val="20"/>
          <w:szCs w:val="20"/>
        </w:rPr>
        <w:t>judgements</w:t>
      </w:r>
      <w:r>
        <w:rPr>
          <w:rFonts w:ascii="Palatino Linotype" w:eastAsia="Palatino Linotype" w:hAnsi="Palatino Linotype" w:cs="Palatino Linotype"/>
          <w:sz w:val="20"/>
          <w:szCs w:val="20"/>
        </w:rPr>
        <w:t xml:space="preserve"> (not facts) about what is good. Hume will be my example of someone who apparently holds this view, and I will draw on some of the following text, which you might want to read more into:</w:t>
      </w:r>
    </w:p>
    <w:p w14:paraId="0000006B"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David Hume</w:t>
      </w:r>
      <w:r>
        <w:rPr>
          <w:rFonts w:ascii="Palatino Linotype" w:eastAsia="Palatino Linotype" w:hAnsi="Palatino Linotype" w:cs="Palatino Linotype"/>
        </w:rPr>
        <w:t xml:space="preserve">, </w:t>
      </w:r>
      <w:r>
        <w:rPr>
          <w:rFonts w:ascii="Palatino Linotype" w:eastAsia="Palatino Linotype" w:hAnsi="Palatino Linotype" w:cs="Palatino Linotype"/>
          <w:i/>
        </w:rPr>
        <w:t>A Treatise of Human Nature</w:t>
      </w:r>
      <w:r>
        <w:rPr>
          <w:rFonts w:ascii="Palatino Linotype" w:eastAsia="Palatino Linotype" w:hAnsi="Palatino Linotype" w:cs="Palatino Linotype"/>
        </w:rPr>
        <w:t xml:space="preserve"> Book II, Part 1</w:t>
      </w:r>
    </w:p>
    <w:p w14:paraId="0000006C" w14:textId="77777777" w:rsidR="00D77828" w:rsidRDefault="00D77828">
      <w:pPr>
        <w:ind w:left="567" w:hanging="567"/>
        <w:rPr>
          <w:rFonts w:ascii="Palatino Linotype" w:eastAsia="Palatino Linotype" w:hAnsi="Palatino Linotype" w:cs="Palatino Linotype"/>
        </w:rPr>
      </w:pPr>
    </w:p>
    <w:p w14:paraId="0000006D" w14:textId="77777777" w:rsidR="00D77828" w:rsidRDefault="00D77828">
      <w:pPr>
        <w:ind w:left="567" w:hanging="567"/>
        <w:rPr>
          <w:rFonts w:ascii="Palatino Linotype" w:eastAsia="Palatino Linotype" w:hAnsi="Palatino Linotype" w:cs="Palatino Linotype"/>
        </w:rPr>
      </w:pPr>
    </w:p>
    <w:p w14:paraId="0000006E" w14:textId="77777777" w:rsidR="00D77828" w:rsidRDefault="00DF5AA9">
      <w:pPr>
        <w:ind w:left="567" w:hanging="567"/>
        <w:rPr>
          <w:rFonts w:ascii="Palatino Linotype" w:eastAsia="Palatino Linotype" w:hAnsi="Palatino Linotype" w:cs="Palatino Linotype"/>
          <w:smallCaps/>
          <w:sz w:val="28"/>
          <w:szCs w:val="28"/>
        </w:rPr>
      </w:pPr>
      <w:r>
        <w:rPr>
          <w:rFonts w:ascii="Palatino Linotype" w:eastAsia="Palatino Linotype" w:hAnsi="Palatino Linotype" w:cs="Palatino Linotype"/>
          <w:b/>
          <w:smallCaps/>
          <w:sz w:val="28"/>
          <w:szCs w:val="28"/>
        </w:rPr>
        <w:t>Self-Love and Moral Motivation</w:t>
      </w:r>
    </w:p>
    <w:p w14:paraId="0000006F" w14:textId="77777777" w:rsidR="00D77828" w:rsidRDefault="00D77828">
      <w:pPr>
        <w:rPr>
          <w:rFonts w:ascii="Palatino Linotype" w:eastAsia="Palatino Linotype" w:hAnsi="Palatino Linotype" w:cs="Palatino Linotype"/>
          <w:b/>
          <w:i/>
        </w:rPr>
      </w:pPr>
    </w:p>
    <w:p w14:paraId="00000070" w14:textId="77777777" w:rsidR="00D77828" w:rsidRDefault="00DF5AA9">
      <w:pPr>
        <w:ind w:left="567" w:hanging="567"/>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Essential Primary Texts:</w:t>
      </w:r>
    </w:p>
    <w:p w14:paraId="00000071" w14:textId="77777777" w:rsidR="00D77828" w:rsidRDefault="00DF5AA9">
      <w:pPr>
        <w:ind w:left="567" w:hanging="567"/>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Aristotle</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Nicomachean Ethics</w:t>
      </w:r>
      <w:r>
        <w:rPr>
          <w:rFonts w:ascii="Palatino Linotype" w:eastAsia="Palatino Linotype" w:hAnsi="Palatino Linotype" w:cs="Palatino Linotype"/>
          <w:sz w:val="24"/>
          <w:szCs w:val="24"/>
        </w:rPr>
        <w:t xml:space="preserve"> Book IX (esp. 1168a28-1169b3)</w:t>
      </w:r>
    </w:p>
    <w:p w14:paraId="00000072" w14:textId="77777777" w:rsidR="00D77828" w:rsidRDefault="00DF5AA9">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Godfrey of Fontaines</w:t>
      </w:r>
      <w:r>
        <w:rPr>
          <w:rFonts w:ascii="Palatino Linotype" w:eastAsia="Palatino Linotype" w:hAnsi="Palatino Linotype" w:cs="Palatino Linotype"/>
          <w:sz w:val="24"/>
          <w:szCs w:val="24"/>
        </w:rPr>
        <w:t xml:space="preserve">, ‘Does a Human Being Following the Dictates of Natural Reason Have to Judge that He Ought to Love God More Than Himself?’ in </w:t>
      </w:r>
      <w:r>
        <w:rPr>
          <w:rFonts w:ascii="Palatino Linotype" w:eastAsia="Palatino Linotype" w:hAnsi="Palatino Linotype" w:cs="Palatino Linotype"/>
          <w:i/>
          <w:sz w:val="24"/>
          <w:szCs w:val="24"/>
        </w:rPr>
        <w:t>The Cambridge Translations of Medieval Philosophical Texts, vol. 2: Ethics and Political Philosophy</w:t>
      </w:r>
      <w:r>
        <w:rPr>
          <w:rFonts w:ascii="Palatino Linotype" w:eastAsia="Palatino Linotype" w:hAnsi="Palatino Linotype" w:cs="Palatino Linotype"/>
          <w:sz w:val="24"/>
          <w:szCs w:val="24"/>
        </w:rPr>
        <w:t>, eds. Arthur Stephen McGrade, John Kilcullen &amp; Matthew Kempshall (Cambridge: CUP, 2001), pp. 271-84 (esp. p.280)</w:t>
      </w:r>
    </w:p>
    <w:p w14:paraId="00000073" w14:textId="77777777" w:rsidR="00D77828" w:rsidRDefault="00DF5AA9">
      <w:pPr>
        <w:ind w:left="567" w:hanging="567"/>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 xml:space="preserve">James of Viterbo, </w:t>
      </w:r>
      <w:r>
        <w:rPr>
          <w:rFonts w:ascii="Palatino Linotype" w:eastAsia="Palatino Linotype" w:hAnsi="Palatino Linotype" w:cs="Palatino Linotype"/>
          <w:sz w:val="24"/>
          <w:szCs w:val="24"/>
        </w:rPr>
        <w:t xml:space="preserve">‘Does a Human Being Have a Greater Natural Love for God than for Himself, or Vice Versa?’, in </w:t>
      </w:r>
      <w:r>
        <w:rPr>
          <w:rFonts w:ascii="Palatino Linotype" w:eastAsia="Palatino Linotype" w:hAnsi="Palatino Linotype" w:cs="Palatino Linotype"/>
          <w:i/>
          <w:sz w:val="24"/>
          <w:szCs w:val="24"/>
        </w:rPr>
        <w:t>The Cambridge Translations of Medieval Philosophical Texts, vol. ii: Ethics and Political Philosophy</w:t>
      </w:r>
      <w:r>
        <w:rPr>
          <w:rFonts w:ascii="Palatino Linotype" w:eastAsia="Palatino Linotype" w:hAnsi="Palatino Linotype" w:cs="Palatino Linotype"/>
          <w:sz w:val="24"/>
          <w:szCs w:val="24"/>
        </w:rPr>
        <w:t>, eds. Arthur Stephen McGrade, John Kilcullen &amp; Matthew Kempshall (Cambridge: CUP, 2001), pp. 285-300 (esp. pp. 289-90)</w:t>
      </w:r>
    </w:p>
    <w:p w14:paraId="00000074"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sz w:val="24"/>
          <w:szCs w:val="24"/>
        </w:rPr>
        <w:t>Bernard Mandeville</w:t>
      </w:r>
      <w:r>
        <w:rPr>
          <w:rFonts w:ascii="Palatino Linotype" w:eastAsia="Palatino Linotype" w:hAnsi="Palatino Linotype" w:cs="Palatino Linotype"/>
          <w:sz w:val="24"/>
          <w:szCs w:val="24"/>
        </w:rPr>
        <w:t>, ‘An Enquiry into the Origin of Moral Virtue’</w:t>
      </w:r>
    </w:p>
    <w:p w14:paraId="00000075" w14:textId="77777777" w:rsidR="00D77828" w:rsidRDefault="00DF5AA9">
      <w:pPr>
        <w:ind w:left="709"/>
        <w:rPr>
          <w:rFonts w:ascii="Palatino Linotype" w:eastAsia="Palatino Linotype" w:hAnsi="Palatino Linotype" w:cs="Palatino Linotype"/>
        </w:rPr>
      </w:pPr>
      <w:r>
        <w:rPr>
          <w:rFonts w:ascii="Palatino Linotype" w:eastAsia="Palatino Linotype" w:hAnsi="Palatino Linotype" w:cs="Palatino Linotype"/>
        </w:rPr>
        <w:t xml:space="preserve">I recommend the Oxford Scholarly Editions Online edition in </w:t>
      </w:r>
      <w:r>
        <w:rPr>
          <w:rFonts w:ascii="Palatino Linotype" w:eastAsia="Palatino Linotype" w:hAnsi="Palatino Linotype" w:cs="Palatino Linotype"/>
          <w:i/>
        </w:rPr>
        <w:t>The Fable of the Bees: or, Private vices, Publick Benefits, vol. 1</w:t>
      </w:r>
      <w:r>
        <w:rPr>
          <w:rFonts w:ascii="Palatino Linotype" w:eastAsia="Palatino Linotype" w:hAnsi="Palatino Linotype" w:cs="Palatino Linotype"/>
        </w:rPr>
        <w:t xml:space="preserve"> (ed. F. B. Kaye, Oxford: OUP, 2014), available via the Library.</w:t>
      </w:r>
    </w:p>
    <w:p w14:paraId="00000076" w14:textId="77777777" w:rsidR="00D77828" w:rsidRDefault="00DF5AA9">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Joseph Butler</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Fifteen Sermons Preached at the Rolls Chapel</w:t>
      </w:r>
      <w:r>
        <w:rPr>
          <w:rFonts w:ascii="Palatino Linotype" w:eastAsia="Palatino Linotype" w:hAnsi="Palatino Linotype" w:cs="Palatino Linotype"/>
          <w:sz w:val="24"/>
          <w:szCs w:val="24"/>
        </w:rPr>
        <w:t xml:space="preserve"> Sermon XI</w:t>
      </w:r>
    </w:p>
    <w:p w14:paraId="00000077" w14:textId="77777777" w:rsidR="00D77828" w:rsidRDefault="00D77828">
      <w:pPr>
        <w:ind w:left="567" w:hanging="567"/>
        <w:rPr>
          <w:rFonts w:ascii="Palatino Linotype" w:eastAsia="Palatino Linotype" w:hAnsi="Palatino Linotype" w:cs="Palatino Linotype"/>
        </w:rPr>
      </w:pPr>
    </w:p>
    <w:p w14:paraId="00000078" w14:textId="77777777" w:rsidR="00D77828" w:rsidRDefault="00DF5AA9">
      <w:pPr>
        <w:ind w:left="567" w:hanging="567"/>
        <w:rPr>
          <w:rFonts w:ascii="Palatino Linotype" w:eastAsia="Palatino Linotype" w:hAnsi="Palatino Linotype" w:cs="Palatino Linotype"/>
          <w:b/>
          <w:i/>
        </w:rPr>
      </w:pPr>
      <w:r>
        <w:rPr>
          <w:rFonts w:ascii="Palatino Linotype" w:eastAsia="Palatino Linotype" w:hAnsi="Palatino Linotype" w:cs="Palatino Linotype"/>
          <w:b/>
          <w:i/>
        </w:rPr>
        <w:t>Further Reading:</w:t>
      </w:r>
    </w:p>
    <w:p w14:paraId="00000079" w14:textId="77777777" w:rsidR="00D77828" w:rsidRDefault="00DF5AA9">
      <w:pPr>
        <w:ind w:left="567" w:hanging="567"/>
        <w:rPr>
          <w:rFonts w:ascii="Palatino Linotype" w:eastAsia="Palatino Linotype" w:hAnsi="Palatino Linotype" w:cs="Palatino Linotype"/>
          <w:i/>
        </w:rPr>
      </w:pPr>
      <w:r>
        <w:rPr>
          <w:rFonts w:ascii="Palatino Linotype" w:eastAsia="Palatino Linotype" w:hAnsi="Palatino Linotype" w:cs="Palatino Linotype"/>
          <w:b/>
        </w:rPr>
        <w:t>David Wiggins</w:t>
      </w:r>
      <w:r>
        <w:rPr>
          <w:rFonts w:ascii="Palatino Linotype" w:eastAsia="Palatino Linotype" w:hAnsi="Palatino Linotype" w:cs="Palatino Linotype"/>
        </w:rPr>
        <w:t xml:space="preserve">, </w:t>
      </w:r>
      <w:r>
        <w:rPr>
          <w:rFonts w:ascii="Palatino Linotype" w:eastAsia="Palatino Linotype" w:hAnsi="Palatino Linotype" w:cs="Palatino Linotype"/>
          <w:i/>
        </w:rPr>
        <w:t>Ethics: Twelve Lectures on the Philosophy of Morality</w:t>
      </w:r>
      <w:r>
        <w:rPr>
          <w:rFonts w:ascii="Palatino Linotype" w:eastAsia="Palatino Linotype" w:hAnsi="Palatino Linotype" w:cs="Palatino Linotype"/>
        </w:rPr>
        <w:t xml:space="preserve"> (London: Penguin, 2006), Chapter 1</w:t>
      </w:r>
    </w:p>
    <w:p w14:paraId="0000007A" w14:textId="77777777" w:rsidR="00D77828" w:rsidRDefault="00DF5AA9">
      <w:pPr>
        <w:ind w:left="709"/>
        <w:rPr>
          <w:rFonts w:ascii="Palatino Linotype" w:eastAsia="Palatino Linotype" w:hAnsi="Palatino Linotype" w:cs="Palatino Linotype"/>
        </w:rPr>
      </w:pPr>
      <w:r>
        <w:rPr>
          <w:rFonts w:ascii="Palatino Linotype" w:eastAsia="Palatino Linotype" w:hAnsi="Palatino Linotype" w:cs="Palatino Linotype"/>
        </w:rPr>
        <w:t xml:space="preserve">Wiggins’s book is excellent, and you should consider reading it all if you want something on ethics to delve into outside of your course reading. (Wiggins has several chapters on Kant, which are of course relevant to the second part of this module, although I personally don’t think Kant interpretation is Wiggins’s strongest suit.) In this introductory chapter he addresses our topic as it appears in the </w:t>
      </w:r>
      <w:r>
        <w:rPr>
          <w:rFonts w:ascii="Palatino Linotype" w:eastAsia="Palatino Linotype" w:hAnsi="Palatino Linotype" w:cs="Palatino Linotype"/>
          <w:i/>
        </w:rPr>
        <w:t>Republic</w:t>
      </w:r>
      <w:r>
        <w:rPr>
          <w:rFonts w:ascii="Palatino Linotype" w:eastAsia="Palatino Linotype" w:hAnsi="Palatino Linotype" w:cs="Palatino Linotype"/>
        </w:rPr>
        <w:t xml:space="preserve">, and makes some very sensible conceptual points, which I might draw on in the lectures. </w:t>
      </w:r>
    </w:p>
    <w:p w14:paraId="0000007B"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David Hume</w:t>
      </w:r>
      <w:r>
        <w:rPr>
          <w:rFonts w:ascii="Palatino Linotype" w:eastAsia="Palatino Linotype" w:hAnsi="Palatino Linotype" w:cs="Palatino Linotype"/>
        </w:rPr>
        <w:t xml:space="preserve">, </w:t>
      </w:r>
      <w:r>
        <w:rPr>
          <w:rFonts w:ascii="Palatino Linotype" w:eastAsia="Palatino Linotype" w:hAnsi="Palatino Linotype" w:cs="Palatino Linotype"/>
          <w:i/>
        </w:rPr>
        <w:t>A Treatise of Human Nature</w:t>
      </w:r>
      <w:r>
        <w:rPr>
          <w:rFonts w:ascii="Palatino Linotype" w:eastAsia="Palatino Linotype" w:hAnsi="Palatino Linotype" w:cs="Palatino Linotype"/>
        </w:rPr>
        <w:t xml:space="preserve"> Book II, Part 2 </w:t>
      </w:r>
    </w:p>
    <w:p w14:paraId="0000007C" w14:textId="77777777" w:rsidR="00D77828" w:rsidRDefault="00D77828">
      <w:pPr>
        <w:ind w:left="567" w:hanging="567"/>
        <w:rPr>
          <w:rFonts w:ascii="Palatino Linotype" w:eastAsia="Palatino Linotype" w:hAnsi="Palatino Linotype" w:cs="Palatino Linotype"/>
        </w:rPr>
      </w:pPr>
    </w:p>
    <w:p w14:paraId="0000007D" w14:textId="77777777" w:rsidR="00D77828" w:rsidRDefault="00D77828">
      <w:pPr>
        <w:ind w:left="567" w:hanging="567"/>
        <w:rPr>
          <w:rFonts w:ascii="Palatino Linotype" w:eastAsia="Palatino Linotype" w:hAnsi="Palatino Linotype" w:cs="Palatino Linotype"/>
        </w:rPr>
      </w:pPr>
    </w:p>
    <w:p w14:paraId="0000007E" w14:textId="77777777" w:rsidR="00D77828" w:rsidRDefault="00DF5AA9">
      <w:pPr>
        <w:rPr>
          <w:rFonts w:ascii="Palatino Linotype" w:eastAsia="Palatino Linotype" w:hAnsi="Palatino Linotype" w:cs="Palatino Linotype"/>
          <w:b/>
          <w:i/>
          <w:sz w:val="28"/>
          <w:szCs w:val="28"/>
        </w:rPr>
      </w:pPr>
      <w:r>
        <w:rPr>
          <w:rFonts w:ascii="Palatino Linotype" w:eastAsia="Palatino Linotype" w:hAnsi="Palatino Linotype" w:cs="Palatino Linotype"/>
          <w:b/>
          <w:i/>
          <w:sz w:val="28"/>
          <w:szCs w:val="28"/>
        </w:rPr>
        <w:t xml:space="preserve">Part Two: </w:t>
      </w:r>
    </w:p>
    <w:p w14:paraId="0000007F" w14:textId="77777777" w:rsidR="00D77828" w:rsidRDefault="00DF5AA9">
      <w:pPr>
        <w:rPr>
          <w:rFonts w:ascii="Palatino Linotype" w:eastAsia="Palatino Linotype" w:hAnsi="Palatino Linotype" w:cs="Palatino Linotype"/>
          <w:b/>
        </w:rPr>
      </w:pPr>
      <w:r>
        <w:rPr>
          <w:rFonts w:ascii="Palatino Linotype" w:eastAsia="Palatino Linotype" w:hAnsi="Palatino Linotype" w:cs="Palatino Linotype"/>
          <w:b/>
          <w:i/>
          <w:sz w:val="28"/>
          <w:szCs w:val="28"/>
        </w:rPr>
        <w:t>Kant’s Moral Philosophy</w:t>
      </w:r>
    </w:p>
    <w:p w14:paraId="00000080" w14:textId="77777777" w:rsidR="00D77828" w:rsidRDefault="00D77828">
      <w:pPr>
        <w:rPr>
          <w:rFonts w:ascii="Palatino Linotype" w:eastAsia="Palatino Linotype" w:hAnsi="Palatino Linotype" w:cs="Palatino Linotype"/>
          <w:b/>
        </w:rPr>
      </w:pPr>
    </w:p>
    <w:p w14:paraId="00000081" w14:textId="77777777" w:rsidR="00D77828" w:rsidRDefault="00DF5AA9">
      <w:pPr>
        <w:rPr>
          <w:rFonts w:ascii="Palatino Linotype" w:eastAsia="Palatino Linotype" w:hAnsi="Palatino Linotype" w:cs="Palatino Linotype"/>
        </w:rPr>
      </w:pPr>
      <w:r>
        <w:rPr>
          <w:rFonts w:ascii="Palatino Linotype" w:eastAsia="Palatino Linotype" w:hAnsi="Palatino Linotype" w:cs="Palatino Linotype"/>
        </w:rPr>
        <w:t xml:space="preserve">This part of the module will focus on Kant’s moral theory, mainly through a close reading of his </w:t>
      </w:r>
      <w:r>
        <w:rPr>
          <w:rFonts w:ascii="Palatino Linotype" w:eastAsia="Palatino Linotype" w:hAnsi="Palatino Linotype" w:cs="Palatino Linotype"/>
          <w:i/>
        </w:rPr>
        <w:t>Groundwork for the Metaphysics of Morals</w:t>
      </w:r>
      <w:r>
        <w:rPr>
          <w:rFonts w:ascii="Palatino Linotype" w:eastAsia="Palatino Linotype" w:hAnsi="Palatino Linotype" w:cs="Palatino Linotype"/>
        </w:rPr>
        <w:t xml:space="preserve">. (Note that the </w:t>
      </w:r>
      <w:r>
        <w:rPr>
          <w:rFonts w:ascii="Palatino Linotype" w:eastAsia="Palatino Linotype" w:hAnsi="Palatino Linotype" w:cs="Palatino Linotype"/>
          <w:b/>
          <w:i/>
        </w:rPr>
        <w:t>Groundwork</w:t>
      </w:r>
      <w:r>
        <w:rPr>
          <w:rFonts w:ascii="Palatino Linotype" w:eastAsia="Palatino Linotype" w:hAnsi="Palatino Linotype" w:cs="Palatino Linotype"/>
        </w:rPr>
        <w:t xml:space="preserve"> </w:t>
      </w:r>
      <w:r>
        <w:rPr>
          <w:rFonts w:ascii="Palatino Linotype" w:eastAsia="Palatino Linotype" w:hAnsi="Palatino Linotype" w:cs="Palatino Linotype"/>
          <w:i/>
        </w:rPr>
        <w:t xml:space="preserve">for the Metaphysics of Morals </w:t>
      </w:r>
      <w:r>
        <w:rPr>
          <w:rFonts w:ascii="Palatino Linotype" w:eastAsia="Palatino Linotype" w:hAnsi="Palatino Linotype" w:cs="Palatino Linotype"/>
        </w:rPr>
        <w:t xml:space="preserve">is a different book from the </w:t>
      </w:r>
      <w:r>
        <w:rPr>
          <w:rFonts w:ascii="Palatino Linotype" w:eastAsia="Palatino Linotype" w:hAnsi="Palatino Linotype" w:cs="Palatino Linotype"/>
          <w:i/>
        </w:rPr>
        <w:t>Metaphysics of Morals</w:t>
      </w:r>
      <w:r>
        <w:rPr>
          <w:rFonts w:ascii="Palatino Linotype" w:eastAsia="Palatino Linotype" w:hAnsi="Palatino Linotype" w:cs="Palatino Linotype"/>
        </w:rPr>
        <w:t xml:space="preserve"> which is a much later work by Kant.) Several good (and some less good) translations and editions are available. The once standard translation by Paton (published under the title </w:t>
      </w:r>
      <w:r>
        <w:rPr>
          <w:rFonts w:ascii="Palatino Linotype" w:eastAsia="Palatino Linotype" w:hAnsi="Palatino Linotype" w:cs="Palatino Linotype"/>
          <w:i/>
        </w:rPr>
        <w:t>The Moral Law</w:t>
      </w:r>
      <w:r>
        <w:rPr>
          <w:rFonts w:ascii="Palatino Linotype" w:eastAsia="Palatino Linotype" w:hAnsi="Palatino Linotype" w:cs="Palatino Linotype"/>
        </w:rPr>
        <w:t>), and the one by Abbot, are perhaps more easily readable, but compared to some more recent translations they are not, I think, quite precise enough. I recommend any of the</w:t>
      </w:r>
      <w:r>
        <w:rPr>
          <w:rFonts w:ascii="Palatino Linotype" w:eastAsia="Palatino Linotype" w:hAnsi="Palatino Linotype" w:cs="Palatino Linotype"/>
        </w:rPr>
        <w:t xml:space="preserve"> following:</w:t>
      </w:r>
    </w:p>
    <w:p w14:paraId="00000082" w14:textId="77777777" w:rsidR="00D77828" w:rsidRDefault="00D77828">
      <w:pPr>
        <w:ind w:left="567" w:hanging="567"/>
        <w:rPr>
          <w:rFonts w:ascii="Palatino Linotype" w:eastAsia="Palatino Linotype" w:hAnsi="Palatino Linotype" w:cs="Palatino Linotype"/>
          <w:b/>
        </w:rPr>
      </w:pPr>
    </w:p>
    <w:p w14:paraId="00000083"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Mary Gregor</w:t>
      </w:r>
      <w:r>
        <w:rPr>
          <w:rFonts w:ascii="Palatino Linotype" w:eastAsia="Palatino Linotype" w:hAnsi="Palatino Linotype" w:cs="Palatino Linotype"/>
        </w:rPr>
        <w:t xml:space="preserve"> (trans. and ed.), </w:t>
      </w:r>
      <w:r>
        <w:rPr>
          <w:rFonts w:ascii="Palatino Linotype" w:eastAsia="Palatino Linotype" w:hAnsi="Palatino Linotype" w:cs="Palatino Linotype"/>
          <w:i/>
        </w:rPr>
        <w:t>Groundwork for the Metaphysics of Morals</w:t>
      </w:r>
      <w:r>
        <w:rPr>
          <w:rFonts w:ascii="Palatino Linotype" w:eastAsia="Palatino Linotype" w:hAnsi="Palatino Linotype" w:cs="Palatino Linotype"/>
        </w:rPr>
        <w:t xml:space="preserve"> in Immanuel Kant, </w:t>
      </w:r>
      <w:r>
        <w:rPr>
          <w:rFonts w:ascii="Palatino Linotype" w:eastAsia="Palatino Linotype" w:hAnsi="Palatino Linotype" w:cs="Palatino Linotype"/>
          <w:i/>
        </w:rPr>
        <w:t>Practical Philosophy</w:t>
      </w:r>
      <w:r>
        <w:rPr>
          <w:rFonts w:ascii="Palatino Linotype" w:eastAsia="Palatino Linotype" w:hAnsi="Palatino Linotype" w:cs="Palatino Linotype"/>
        </w:rPr>
        <w:t xml:space="preserve"> (Cambridge: CUP, 1996)</w:t>
      </w:r>
    </w:p>
    <w:p w14:paraId="00000084"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Allen W. Wood</w:t>
      </w:r>
      <w:r>
        <w:rPr>
          <w:rFonts w:ascii="Palatino Linotype" w:eastAsia="Palatino Linotype" w:hAnsi="Palatino Linotype" w:cs="Palatino Linotype"/>
        </w:rPr>
        <w:t xml:space="preserve">, </w:t>
      </w:r>
      <w:r>
        <w:rPr>
          <w:rFonts w:ascii="Palatino Linotype" w:eastAsia="Palatino Linotype" w:hAnsi="Palatino Linotype" w:cs="Palatino Linotype"/>
          <w:i/>
        </w:rPr>
        <w:t>Groundwork for the Metaphysics of Morals: With an Updated Translation, Introduction, and Notes</w:t>
      </w:r>
      <w:r>
        <w:rPr>
          <w:rFonts w:ascii="Palatino Linotype" w:eastAsia="Palatino Linotype" w:hAnsi="Palatino Linotype" w:cs="Palatino Linotype"/>
        </w:rPr>
        <w:t xml:space="preserve"> (New Haven: Yale University Press, 2018)</w:t>
      </w:r>
    </w:p>
    <w:p w14:paraId="00000085" w14:textId="77777777" w:rsidR="00D77828" w:rsidRDefault="00DF5AA9">
      <w:pPr>
        <w:ind w:left="709"/>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As the title suggests, this is an updated version of the 2002 edition of this translation by Wood. Annoyingly, the 2018 edition is worth getting rather than the 2002 one because it is updated (thus perhaps ironing out some problems – I admit I haven’t had a chance yet to compare it to the 2002 edition, which is perfectly fine); but the 2002 edition comes with some nice bonus material – four critical discussion essays on Kant’s ethics by leading moral philosophers – which the 2018 edition unfortunately omits</w:t>
      </w:r>
      <w:r>
        <w:rPr>
          <w:rFonts w:ascii="Palatino Linotype" w:eastAsia="Palatino Linotype" w:hAnsi="Palatino Linotype" w:cs="Palatino Linotype"/>
          <w:sz w:val="20"/>
          <w:szCs w:val="20"/>
        </w:rPr>
        <w:t>.</w:t>
      </w:r>
    </w:p>
    <w:p w14:paraId="00000086"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Jens Timmermann</w:t>
      </w:r>
      <w:r>
        <w:rPr>
          <w:rFonts w:ascii="Palatino Linotype" w:eastAsia="Palatino Linotype" w:hAnsi="Palatino Linotype" w:cs="Palatino Linotype"/>
        </w:rPr>
        <w:t xml:space="preserve"> (trans.), </w:t>
      </w:r>
      <w:r>
        <w:rPr>
          <w:rFonts w:ascii="Palatino Linotype" w:eastAsia="Palatino Linotype" w:hAnsi="Palatino Linotype" w:cs="Palatino Linotype"/>
          <w:i/>
        </w:rPr>
        <w:t>Groundwork of the Metaphysics of Morals: A German-English Edition</w:t>
      </w:r>
      <w:r>
        <w:rPr>
          <w:rFonts w:ascii="Palatino Linotype" w:eastAsia="Palatino Linotype" w:hAnsi="Palatino Linotype" w:cs="Palatino Linotype"/>
        </w:rPr>
        <w:t xml:space="preserve"> (Cambridge: CUP, 2011)</w:t>
      </w:r>
    </w:p>
    <w:p w14:paraId="00000087" w14:textId="77777777" w:rsidR="00D77828" w:rsidRDefault="00DF5AA9">
      <w:pPr>
        <w:ind w:left="709"/>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There are two features which make this a good edition to use: (i) it is easily available online via the Library; and (ii) it has the original German text alongside the English (although it’s fine to just read it in English!). Timmermann’s translation is based on Gregor’s (above), but updates it (not always, actually, in good ways). </w:t>
      </w:r>
    </w:p>
    <w:p w14:paraId="00000088" w14:textId="77777777" w:rsidR="00D77828" w:rsidRDefault="00D77828">
      <w:pPr>
        <w:ind w:left="709"/>
        <w:rPr>
          <w:rFonts w:ascii="Palatino Linotype" w:eastAsia="Palatino Linotype" w:hAnsi="Palatino Linotype" w:cs="Palatino Linotype"/>
          <w:sz w:val="20"/>
          <w:szCs w:val="20"/>
        </w:rPr>
      </w:pPr>
    </w:p>
    <w:p w14:paraId="00000089" w14:textId="77777777" w:rsidR="00D77828" w:rsidRDefault="00DF5AA9">
      <w:pPr>
        <w:rPr>
          <w:rFonts w:ascii="Palatino Linotype" w:eastAsia="Palatino Linotype" w:hAnsi="Palatino Linotype" w:cs="Palatino Linotype"/>
        </w:rPr>
      </w:pPr>
      <w:r>
        <w:rPr>
          <w:rFonts w:ascii="Palatino Linotype" w:eastAsia="Palatino Linotype" w:hAnsi="Palatino Linotype" w:cs="Palatino Linotype"/>
        </w:rPr>
        <w:t xml:space="preserve">A very good close commentary on the </w:t>
      </w:r>
      <w:r>
        <w:rPr>
          <w:rFonts w:ascii="Palatino Linotype" w:eastAsia="Palatino Linotype" w:hAnsi="Palatino Linotype" w:cs="Palatino Linotype"/>
          <w:i/>
        </w:rPr>
        <w:t>Groundwork</w:t>
      </w:r>
      <w:r>
        <w:rPr>
          <w:rFonts w:ascii="Palatino Linotype" w:eastAsia="Palatino Linotype" w:hAnsi="Palatino Linotype" w:cs="Palatino Linotype"/>
        </w:rPr>
        <w:t>, conveniently available online via the Library, is:</w:t>
      </w:r>
    </w:p>
    <w:p w14:paraId="0000008A" w14:textId="77777777" w:rsidR="00D77828" w:rsidRDefault="00D77828">
      <w:pPr>
        <w:rPr>
          <w:rFonts w:ascii="Palatino Linotype" w:eastAsia="Palatino Linotype" w:hAnsi="Palatino Linotype" w:cs="Palatino Linotype"/>
        </w:rPr>
      </w:pPr>
    </w:p>
    <w:p w14:paraId="0000008B"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Henry E. Allison</w:t>
      </w:r>
      <w:r>
        <w:rPr>
          <w:rFonts w:ascii="Palatino Linotype" w:eastAsia="Palatino Linotype" w:hAnsi="Palatino Linotype" w:cs="Palatino Linotype"/>
        </w:rPr>
        <w:t xml:space="preserve">, </w:t>
      </w:r>
      <w:r>
        <w:rPr>
          <w:rFonts w:ascii="Palatino Linotype" w:eastAsia="Palatino Linotype" w:hAnsi="Palatino Linotype" w:cs="Palatino Linotype"/>
          <w:i/>
        </w:rPr>
        <w:t>Kant’s Groundwork for the Metaphysics of Morals: A Commentary</w:t>
      </w:r>
      <w:r>
        <w:rPr>
          <w:rFonts w:ascii="Palatino Linotype" w:eastAsia="Palatino Linotype" w:hAnsi="Palatino Linotype" w:cs="Palatino Linotype"/>
        </w:rPr>
        <w:t xml:space="preserve"> (Oxford: OUP, 2011)</w:t>
      </w:r>
    </w:p>
    <w:p w14:paraId="0000008C" w14:textId="77777777" w:rsidR="00D77828" w:rsidRDefault="00D77828">
      <w:pPr>
        <w:rPr>
          <w:rFonts w:ascii="Palatino Linotype" w:eastAsia="Palatino Linotype" w:hAnsi="Palatino Linotype" w:cs="Palatino Linotype"/>
          <w:b/>
        </w:rPr>
      </w:pPr>
    </w:p>
    <w:p w14:paraId="0000008D" w14:textId="77777777" w:rsidR="00D77828" w:rsidRDefault="00DF5AA9">
      <w:pPr>
        <w:rPr>
          <w:rFonts w:ascii="Palatino Linotype" w:eastAsia="Palatino Linotype" w:hAnsi="Palatino Linotype" w:cs="Palatino Linotype"/>
        </w:rPr>
      </w:pPr>
      <w:r>
        <w:rPr>
          <w:rFonts w:ascii="Palatino Linotype" w:eastAsia="Palatino Linotype" w:hAnsi="Palatino Linotype" w:cs="Palatino Linotype"/>
        </w:rPr>
        <w:t xml:space="preserve">Commentaries such as this can be used to help you understand, interpret and reconstruct the argument in particular passages of the primary text. But you should always be aware that each will give you a particular perspective on what is going on, and you should approach them with a critical attitude, ready to question and disagree with what they are saying. </w:t>
      </w:r>
    </w:p>
    <w:p w14:paraId="0000008E" w14:textId="77777777" w:rsidR="00D77828" w:rsidRDefault="00D77828">
      <w:pPr>
        <w:rPr>
          <w:rFonts w:ascii="Palatino Linotype" w:eastAsia="Palatino Linotype" w:hAnsi="Palatino Linotype" w:cs="Palatino Linotype"/>
          <w:b/>
        </w:rPr>
      </w:pPr>
    </w:p>
    <w:p w14:paraId="0000008F" w14:textId="77777777" w:rsidR="00D77828" w:rsidRDefault="00DF5AA9">
      <w:pPr>
        <w:ind w:left="567" w:hanging="567"/>
        <w:rPr>
          <w:rFonts w:ascii="Palatino Linotype" w:eastAsia="Palatino Linotype" w:hAnsi="Palatino Linotype" w:cs="Palatino Linotype"/>
          <w:b/>
          <w:smallCaps/>
          <w:sz w:val="28"/>
          <w:szCs w:val="28"/>
        </w:rPr>
      </w:pPr>
      <w:r>
        <w:rPr>
          <w:rFonts w:ascii="Palatino Linotype" w:eastAsia="Palatino Linotype" w:hAnsi="Palatino Linotype" w:cs="Palatino Linotype"/>
          <w:b/>
          <w:smallCaps/>
          <w:sz w:val="28"/>
          <w:szCs w:val="28"/>
        </w:rPr>
        <w:t>The Universality of the Moral Law and the Proper Methodology of Ethics</w:t>
      </w:r>
    </w:p>
    <w:p w14:paraId="00000090" w14:textId="77777777" w:rsidR="00D77828" w:rsidRDefault="00D77828">
      <w:pPr>
        <w:ind w:left="567" w:hanging="567"/>
        <w:rPr>
          <w:rFonts w:ascii="Palatino Linotype" w:eastAsia="Palatino Linotype" w:hAnsi="Palatino Linotype" w:cs="Palatino Linotype"/>
          <w:b/>
          <w:smallCaps/>
          <w:sz w:val="28"/>
          <w:szCs w:val="28"/>
        </w:rPr>
      </w:pPr>
    </w:p>
    <w:p w14:paraId="00000091" w14:textId="77777777" w:rsidR="00D77828" w:rsidRDefault="00DF5AA9">
      <w:pPr>
        <w:rPr>
          <w:rFonts w:ascii="Palatino Linotype" w:eastAsia="Palatino Linotype" w:hAnsi="Palatino Linotype" w:cs="Palatino Linotype"/>
          <w:b/>
        </w:rPr>
      </w:pPr>
      <w:r>
        <w:rPr>
          <w:rFonts w:ascii="Palatino Linotype" w:eastAsia="Palatino Linotype" w:hAnsi="Palatino Linotype" w:cs="Palatino Linotype"/>
          <w:b/>
          <w:i/>
        </w:rPr>
        <w:t>Background Secondary Reading:</w:t>
      </w:r>
    </w:p>
    <w:p w14:paraId="00000092"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Robert Johnson &amp; Adam Curaton</w:t>
      </w:r>
      <w:r>
        <w:rPr>
          <w:rFonts w:ascii="Palatino Linotype" w:eastAsia="Palatino Linotype" w:hAnsi="Palatino Linotype" w:cs="Palatino Linotype"/>
        </w:rPr>
        <w:t xml:space="preserve">, ‘Kant’s Moral Philosophy’, </w:t>
      </w:r>
      <w:r>
        <w:rPr>
          <w:rFonts w:ascii="Palatino Linotype" w:eastAsia="Palatino Linotype" w:hAnsi="Palatino Linotype" w:cs="Palatino Linotype"/>
          <w:i/>
        </w:rPr>
        <w:t>The Stanford Encyclopaedia of Philosophy</w:t>
      </w:r>
      <w:r>
        <w:rPr>
          <w:rFonts w:ascii="Palatino Linotype" w:eastAsia="Palatino Linotype" w:hAnsi="Palatino Linotype" w:cs="Palatino Linotype"/>
        </w:rPr>
        <w:t xml:space="preserve"> (Spring 2018 Edition), ed. Edward N. Zalta </w:t>
      </w:r>
      <w:r>
        <w:rPr>
          <w:rFonts w:ascii="Palatino Linotype" w:eastAsia="Palatino Linotype" w:hAnsi="Palatino Linotype" w:cs="Palatino Linotype"/>
          <w:color w:val="1A1A1A"/>
        </w:rPr>
        <w:t xml:space="preserve">URL = </w:t>
      </w:r>
      <w:hyperlink r:id="rId10">
        <w:r>
          <w:rPr>
            <w:rFonts w:ascii="Palatino Linotype" w:eastAsia="Palatino Linotype" w:hAnsi="Palatino Linotype" w:cs="Palatino Linotype"/>
            <w:color w:val="0563C1"/>
            <w:u w:val="single"/>
          </w:rPr>
          <w:t>https://plato.stanford.edu/archives/spr2018/entries/kant-moral/</w:t>
        </w:r>
      </w:hyperlink>
      <w:r>
        <w:rPr>
          <w:rFonts w:ascii="Palatino Linotype" w:eastAsia="Palatino Linotype" w:hAnsi="Palatino Linotype" w:cs="Palatino Linotype"/>
          <w:color w:val="1A1A1A"/>
        </w:rPr>
        <w:t xml:space="preserve"> </w:t>
      </w:r>
    </w:p>
    <w:p w14:paraId="00000093" w14:textId="77777777" w:rsidR="00D77828" w:rsidRDefault="00D77828">
      <w:pPr>
        <w:ind w:left="567" w:hanging="567"/>
        <w:rPr>
          <w:rFonts w:ascii="Palatino Linotype" w:eastAsia="Palatino Linotype" w:hAnsi="Palatino Linotype" w:cs="Palatino Linotype"/>
          <w:b/>
        </w:rPr>
      </w:pPr>
    </w:p>
    <w:p w14:paraId="00000094" w14:textId="77777777" w:rsidR="00D77828" w:rsidRDefault="00DF5AA9">
      <w:pPr>
        <w:ind w:left="567" w:hanging="567"/>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Essential Primary Text:</w:t>
      </w:r>
    </w:p>
    <w:p w14:paraId="00000095" w14:textId="77777777" w:rsidR="00D77828" w:rsidRDefault="00DF5AA9">
      <w:pPr>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Immanuel Kant </w:t>
      </w:r>
      <w:r>
        <w:rPr>
          <w:rFonts w:ascii="Palatino Linotype" w:eastAsia="Palatino Linotype" w:hAnsi="Palatino Linotype" w:cs="Palatino Linotype"/>
          <w:sz w:val="24"/>
          <w:szCs w:val="24"/>
        </w:rPr>
        <w:t xml:space="preserve">[1785], </w:t>
      </w:r>
      <w:r>
        <w:rPr>
          <w:rFonts w:ascii="Palatino Linotype" w:eastAsia="Palatino Linotype" w:hAnsi="Palatino Linotype" w:cs="Palatino Linotype"/>
          <w:i/>
          <w:sz w:val="24"/>
          <w:szCs w:val="24"/>
        </w:rPr>
        <w:t>Groundwork for the Metaphysics of Morals</w:t>
      </w:r>
      <w:r>
        <w:rPr>
          <w:rFonts w:ascii="Palatino Linotype" w:eastAsia="Palatino Linotype" w:hAnsi="Palatino Linotype" w:cs="Palatino Linotype"/>
          <w:sz w:val="24"/>
          <w:szCs w:val="24"/>
        </w:rPr>
        <w:t>, Preface</w:t>
      </w:r>
    </w:p>
    <w:p w14:paraId="00000096" w14:textId="77777777" w:rsidR="00D77828" w:rsidRDefault="00D77828">
      <w:pPr>
        <w:rPr>
          <w:rFonts w:ascii="Palatino Linotype" w:eastAsia="Palatino Linotype" w:hAnsi="Palatino Linotype" w:cs="Palatino Linotype"/>
          <w:b/>
        </w:rPr>
      </w:pPr>
    </w:p>
    <w:p w14:paraId="00000097"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i/>
        </w:rPr>
        <w:t>Further Reading:</w:t>
      </w:r>
    </w:p>
    <w:p w14:paraId="00000098"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Robert B. Louden</w:t>
      </w:r>
      <w:r>
        <w:rPr>
          <w:rFonts w:ascii="Palatino Linotype" w:eastAsia="Palatino Linotype" w:hAnsi="Palatino Linotype" w:cs="Palatino Linotype"/>
        </w:rPr>
        <w:t xml:space="preserve">, </w:t>
      </w:r>
      <w:r>
        <w:rPr>
          <w:rFonts w:ascii="Palatino Linotype" w:eastAsia="Palatino Linotype" w:hAnsi="Palatino Linotype" w:cs="Palatino Linotype"/>
          <w:i/>
        </w:rPr>
        <w:t>Kant’s Impure Ethics: From Rational Being to Human Beings</w:t>
      </w:r>
      <w:r>
        <w:rPr>
          <w:rFonts w:ascii="Palatino Linotype" w:eastAsia="Palatino Linotype" w:hAnsi="Palatino Linotype" w:cs="Palatino Linotype"/>
        </w:rPr>
        <w:t xml:space="preserve"> (New York: OUP, 1999), esp. Chapter 1 (and perhaps Chapter 6)</w:t>
      </w:r>
    </w:p>
    <w:p w14:paraId="00000099" w14:textId="77777777" w:rsidR="00D77828" w:rsidRDefault="00D77828">
      <w:pPr>
        <w:ind w:left="567" w:hanging="567"/>
        <w:rPr>
          <w:rFonts w:ascii="Palatino Linotype" w:eastAsia="Palatino Linotype" w:hAnsi="Palatino Linotype" w:cs="Palatino Linotype"/>
        </w:rPr>
      </w:pPr>
    </w:p>
    <w:p w14:paraId="0000009A" w14:textId="77777777" w:rsidR="00D77828" w:rsidRDefault="00DF5AA9">
      <w:pPr>
        <w:ind w:left="567" w:hanging="567"/>
        <w:rPr>
          <w:rFonts w:ascii="Palatino Linotype" w:eastAsia="Palatino Linotype" w:hAnsi="Palatino Linotype" w:cs="Palatino Linotype"/>
          <w:b/>
          <w:smallCaps/>
          <w:sz w:val="28"/>
          <w:szCs w:val="28"/>
        </w:rPr>
      </w:pPr>
      <w:r>
        <w:rPr>
          <w:rFonts w:ascii="Palatino Linotype" w:eastAsia="Palatino Linotype" w:hAnsi="Palatino Linotype" w:cs="Palatino Linotype"/>
          <w:b/>
          <w:smallCaps/>
          <w:sz w:val="28"/>
          <w:szCs w:val="28"/>
        </w:rPr>
        <w:t>The Good Will</w:t>
      </w:r>
    </w:p>
    <w:p w14:paraId="0000009B" w14:textId="77777777" w:rsidR="00D77828" w:rsidRDefault="00DF5AA9">
      <w:pPr>
        <w:ind w:left="567" w:hanging="567"/>
        <w:rPr>
          <w:rFonts w:ascii="Palatino Linotype" w:eastAsia="Palatino Linotype" w:hAnsi="Palatino Linotype" w:cs="Palatino Linotype"/>
          <w:b/>
          <w:smallCaps/>
        </w:rPr>
      </w:pPr>
      <w:r>
        <w:rPr>
          <w:rFonts w:ascii="Palatino Linotype" w:eastAsia="Palatino Linotype" w:hAnsi="Palatino Linotype" w:cs="Palatino Linotype"/>
          <w:b/>
          <w:smallCaps/>
        </w:rPr>
        <w:t xml:space="preserve"> </w:t>
      </w:r>
    </w:p>
    <w:p w14:paraId="0000009C" w14:textId="77777777" w:rsidR="00D77828" w:rsidRDefault="00DF5AA9">
      <w:pPr>
        <w:ind w:left="567" w:hanging="567"/>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Essential Primary Text:</w:t>
      </w:r>
    </w:p>
    <w:p w14:paraId="0000009D" w14:textId="77777777" w:rsidR="00D77828" w:rsidRDefault="00DF5AA9">
      <w:pPr>
        <w:tabs>
          <w:tab w:val="left" w:pos="7690"/>
        </w:tabs>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Immanuel Kant </w:t>
      </w:r>
      <w:r>
        <w:rPr>
          <w:rFonts w:ascii="Palatino Linotype" w:eastAsia="Palatino Linotype" w:hAnsi="Palatino Linotype" w:cs="Palatino Linotype"/>
          <w:sz w:val="24"/>
          <w:szCs w:val="24"/>
        </w:rPr>
        <w:t xml:space="preserve">[1785], </w:t>
      </w:r>
      <w:r>
        <w:rPr>
          <w:rFonts w:ascii="Palatino Linotype" w:eastAsia="Palatino Linotype" w:hAnsi="Palatino Linotype" w:cs="Palatino Linotype"/>
          <w:i/>
          <w:sz w:val="24"/>
          <w:szCs w:val="24"/>
        </w:rPr>
        <w:t>Groundwork for the Metaphysics of Morals</w:t>
      </w:r>
      <w:r>
        <w:rPr>
          <w:rFonts w:ascii="Palatino Linotype" w:eastAsia="Palatino Linotype" w:hAnsi="Palatino Linotype" w:cs="Palatino Linotype"/>
          <w:sz w:val="24"/>
          <w:szCs w:val="24"/>
        </w:rPr>
        <w:t>, Section 1</w:t>
      </w:r>
    </w:p>
    <w:p w14:paraId="0000009E" w14:textId="77777777" w:rsidR="00D77828" w:rsidRDefault="00D77828">
      <w:pPr>
        <w:rPr>
          <w:rFonts w:ascii="Palatino Linotype" w:eastAsia="Palatino Linotype" w:hAnsi="Palatino Linotype" w:cs="Palatino Linotype"/>
          <w:b/>
        </w:rPr>
      </w:pPr>
    </w:p>
    <w:p w14:paraId="0000009F"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i/>
        </w:rPr>
        <w:t>Further Reading:</w:t>
      </w:r>
    </w:p>
    <w:p w14:paraId="000000A0"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Allen W. Wood</w:t>
      </w:r>
      <w:r>
        <w:rPr>
          <w:rFonts w:ascii="Palatino Linotype" w:eastAsia="Palatino Linotype" w:hAnsi="Palatino Linotype" w:cs="Palatino Linotype"/>
        </w:rPr>
        <w:t xml:space="preserve">, </w:t>
      </w:r>
      <w:r>
        <w:rPr>
          <w:rFonts w:ascii="Palatino Linotype" w:eastAsia="Palatino Linotype" w:hAnsi="Palatino Linotype" w:cs="Palatino Linotype"/>
          <w:i/>
        </w:rPr>
        <w:t>The Free Development of Each: Studies on Freedom, Right, and Ethics in Classical German Philosophy</w:t>
      </w:r>
      <w:r>
        <w:rPr>
          <w:rFonts w:ascii="Palatino Linotype" w:eastAsia="Palatino Linotype" w:hAnsi="Palatino Linotype" w:cs="Palatino Linotype"/>
        </w:rPr>
        <w:t xml:space="preserve"> (Oxford: OUP, 2014), Chapter 1 (‘Moral Worth, Merit, and Acting from Duty’)</w:t>
      </w:r>
    </w:p>
    <w:p w14:paraId="000000A1" w14:textId="77777777" w:rsidR="00D77828" w:rsidRDefault="00DF5AA9">
      <w:pPr>
        <w:ind w:left="709"/>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This is an interpretation and defence of Kant’s claims in the </w:t>
      </w:r>
      <w:r>
        <w:rPr>
          <w:rFonts w:ascii="Palatino Linotype" w:eastAsia="Palatino Linotype" w:hAnsi="Palatino Linotype" w:cs="Palatino Linotype"/>
          <w:i/>
          <w:sz w:val="20"/>
          <w:szCs w:val="20"/>
        </w:rPr>
        <w:t xml:space="preserve">Groundwork </w:t>
      </w:r>
      <w:r>
        <w:rPr>
          <w:rFonts w:ascii="Palatino Linotype" w:eastAsia="Palatino Linotype" w:hAnsi="Palatino Linotype" w:cs="Palatino Linotype"/>
          <w:sz w:val="20"/>
          <w:szCs w:val="20"/>
        </w:rPr>
        <w:t>about the importance of acting from duty.</w:t>
      </w:r>
    </w:p>
    <w:p w14:paraId="000000A2"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Julia Markovits</w:t>
      </w:r>
      <w:r>
        <w:rPr>
          <w:rFonts w:ascii="Palatino Linotype" w:eastAsia="Palatino Linotype" w:hAnsi="Palatino Linotype" w:cs="Palatino Linotype"/>
        </w:rPr>
        <w:t xml:space="preserve">, ‘Acting for the Right Reasons’, </w:t>
      </w:r>
      <w:r>
        <w:rPr>
          <w:rFonts w:ascii="Palatino Linotype" w:eastAsia="Palatino Linotype" w:hAnsi="Palatino Linotype" w:cs="Palatino Linotype"/>
          <w:i/>
        </w:rPr>
        <w:t>Philosophical Review</w:t>
      </w:r>
      <w:r>
        <w:rPr>
          <w:rFonts w:ascii="Palatino Linotype" w:eastAsia="Palatino Linotype" w:hAnsi="Palatino Linotype" w:cs="Palatino Linotype"/>
        </w:rPr>
        <w:t xml:space="preserve"> 119:2 (2010)</w:t>
      </w:r>
    </w:p>
    <w:p w14:paraId="000000A3" w14:textId="77777777" w:rsidR="00D77828" w:rsidRDefault="00DF5AA9">
      <w:pPr>
        <w:ind w:left="709"/>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Markovits criticises Kant’s claims that acting from duty is necessary for deserving moral esteem. For a similar idea about the motives which deserve praise, see also: </w:t>
      </w:r>
    </w:p>
    <w:p w14:paraId="000000A4"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Nomy Arplay</w:t>
      </w:r>
      <w:r>
        <w:rPr>
          <w:rFonts w:ascii="Palatino Linotype" w:eastAsia="Palatino Linotype" w:hAnsi="Palatino Linotype" w:cs="Palatino Linotype"/>
        </w:rPr>
        <w:t xml:space="preserve">, </w:t>
      </w:r>
      <w:r>
        <w:rPr>
          <w:rFonts w:ascii="Palatino Linotype" w:eastAsia="Palatino Linotype" w:hAnsi="Palatino Linotype" w:cs="Palatino Linotype"/>
          <w:i/>
        </w:rPr>
        <w:t>Unprincipled Virtue: An Inquiry into Moral Agency</w:t>
      </w:r>
      <w:r>
        <w:rPr>
          <w:rFonts w:ascii="Palatino Linotype" w:eastAsia="Palatino Linotype" w:hAnsi="Palatino Linotype" w:cs="Palatino Linotype"/>
        </w:rPr>
        <w:t xml:space="preserve"> (Oxford: OUP, 2002), Chapter 3 </w:t>
      </w:r>
    </w:p>
    <w:p w14:paraId="000000A5" w14:textId="77777777" w:rsidR="00D77828" w:rsidRDefault="00D77828">
      <w:pPr>
        <w:ind w:left="567" w:hanging="567"/>
        <w:rPr>
          <w:rFonts w:ascii="Palatino Linotype" w:eastAsia="Palatino Linotype" w:hAnsi="Palatino Linotype" w:cs="Palatino Linotype"/>
        </w:rPr>
      </w:pPr>
    </w:p>
    <w:p w14:paraId="000000A6" w14:textId="77777777" w:rsidR="00D77828" w:rsidRDefault="00D77828">
      <w:pPr>
        <w:ind w:left="567" w:hanging="567"/>
        <w:rPr>
          <w:rFonts w:ascii="Palatino Linotype" w:eastAsia="Palatino Linotype" w:hAnsi="Palatino Linotype" w:cs="Palatino Linotype"/>
        </w:rPr>
      </w:pPr>
    </w:p>
    <w:p w14:paraId="000000A7" w14:textId="77777777" w:rsidR="00D77828" w:rsidRDefault="00DF5AA9">
      <w:pPr>
        <w:ind w:left="567" w:hanging="567"/>
        <w:rPr>
          <w:rFonts w:ascii="Palatino Linotype" w:eastAsia="Palatino Linotype" w:hAnsi="Palatino Linotype" w:cs="Palatino Linotype"/>
          <w:b/>
          <w:smallCaps/>
          <w:sz w:val="28"/>
          <w:szCs w:val="28"/>
        </w:rPr>
      </w:pPr>
      <w:r>
        <w:rPr>
          <w:rFonts w:ascii="Palatino Linotype" w:eastAsia="Palatino Linotype" w:hAnsi="Palatino Linotype" w:cs="Palatino Linotype"/>
          <w:b/>
          <w:smallCaps/>
          <w:sz w:val="28"/>
          <w:szCs w:val="28"/>
        </w:rPr>
        <w:t xml:space="preserve">The Derivation of the Categorical Imperative </w:t>
      </w:r>
    </w:p>
    <w:p w14:paraId="000000A8" w14:textId="77777777" w:rsidR="00D77828" w:rsidRDefault="00D77828">
      <w:pPr>
        <w:ind w:left="567" w:hanging="567"/>
        <w:rPr>
          <w:rFonts w:ascii="Palatino Linotype" w:eastAsia="Palatino Linotype" w:hAnsi="Palatino Linotype" w:cs="Palatino Linotype"/>
          <w:b/>
          <w:smallCaps/>
          <w:sz w:val="28"/>
          <w:szCs w:val="28"/>
        </w:rPr>
      </w:pPr>
    </w:p>
    <w:p w14:paraId="000000A9" w14:textId="77777777" w:rsidR="00D77828" w:rsidRDefault="00DF5AA9">
      <w:pPr>
        <w:ind w:left="567" w:hanging="567"/>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Essential Primary Text:</w:t>
      </w:r>
    </w:p>
    <w:p w14:paraId="000000AA" w14:textId="77777777" w:rsidR="00D77828" w:rsidRDefault="00DF5AA9">
      <w:pPr>
        <w:tabs>
          <w:tab w:val="left" w:pos="7690"/>
        </w:tabs>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Immanuel Kant </w:t>
      </w:r>
      <w:r>
        <w:rPr>
          <w:rFonts w:ascii="Palatino Linotype" w:eastAsia="Palatino Linotype" w:hAnsi="Palatino Linotype" w:cs="Palatino Linotype"/>
          <w:sz w:val="24"/>
          <w:szCs w:val="24"/>
        </w:rPr>
        <w:t xml:space="preserve">[1785], </w:t>
      </w:r>
      <w:r>
        <w:rPr>
          <w:rFonts w:ascii="Palatino Linotype" w:eastAsia="Palatino Linotype" w:hAnsi="Palatino Linotype" w:cs="Palatino Linotype"/>
          <w:i/>
          <w:sz w:val="24"/>
          <w:szCs w:val="24"/>
        </w:rPr>
        <w:t>Groundwork for the Metaphysics of Morals</w:t>
      </w:r>
      <w:r>
        <w:rPr>
          <w:rFonts w:ascii="Palatino Linotype" w:eastAsia="Palatino Linotype" w:hAnsi="Palatino Linotype" w:cs="Palatino Linotype"/>
          <w:sz w:val="24"/>
          <w:szCs w:val="24"/>
        </w:rPr>
        <w:t>, Section 2</w:t>
      </w:r>
    </w:p>
    <w:p w14:paraId="000000AB" w14:textId="77777777" w:rsidR="00D77828" w:rsidRDefault="00D77828">
      <w:pPr>
        <w:ind w:left="567" w:hanging="567"/>
        <w:rPr>
          <w:rFonts w:ascii="Palatino Linotype" w:eastAsia="Palatino Linotype" w:hAnsi="Palatino Linotype" w:cs="Palatino Linotype"/>
        </w:rPr>
      </w:pPr>
    </w:p>
    <w:p w14:paraId="000000AC" w14:textId="77777777" w:rsidR="00D77828" w:rsidRDefault="00DF5AA9">
      <w:pPr>
        <w:ind w:left="567" w:hanging="567"/>
        <w:rPr>
          <w:rFonts w:ascii="Palatino Linotype" w:eastAsia="Palatino Linotype" w:hAnsi="Palatino Linotype" w:cs="Palatino Linotype"/>
          <w:b/>
        </w:rPr>
      </w:pPr>
      <w:r>
        <w:rPr>
          <w:rFonts w:ascii="Palatino Linotype" w:eastAsia="Palatino Linotype" w:hAnsi="Palatino Linotype" w:cs="Palatino Linotype"/>
          <w:b/>
          <w:i/>
        </w:rPr>
        <w:t>Further Reading:</w:t>
      </w:r>
    </w:p>
    <w:p w14:paraId="000000AD" w14:textId="77777777" w:rsidR="00D77828" w:rsidRDefault="00DF5AA9">
      <w:pPr>
        <w:ind w:left="567" w:hanging="567"/>
        <w:rPr>
          <w:rFonts w:ascii="Palatino Linotype" w:eastAsia="Palatino Linotype" w:hAnsi="Palatino Linotype" w:cs="Palatino Linotype"/>
        </w:rPr>
      </w:pPr>
      <w:bookmarkStart w:id="0" w:name="_heading=h.ro0upy43hxz8" w:colFirst="0" w:colLast="0"/>
      <w:bookmarkEnd w:id="0"/>
      <w:r>
        <w:rPr>
          <w:rFonts w:ascii="Palatino Linotype" w:eastAsia="Palatino Linotype" w:hAnsi="Palatino Linotype" w:cs="Palatino Linotype"/>
          <w:b/>
        </w:rPr>
        <w:t>Jens Timmermann</w:t>
      </w:r>
      <w:r>
        <w:rPr>
          <w:rFonts w:ascii="Palatino Linotype" w:eastAsia="Palatino Linotype" w:hAnsi="Palatino Linotype" w:cs="Palatino Linotype"/>
        </w:rPr>
        <w:t xml:space="preserve">, </w:t>
      </w:r>
      <w:r>
        <w:rPr>
          <w:rFonts w:ascii="Palatino Linotype" w:eastAsia="Palatino Linotype" w:hAnsi="Palatino Linotype" w:cs="Palatino Linotype"/>
          <w:i/>
        </w:rPr>
        <w:t>Kant’s Groundwork for the Metaphysics of Morals: A Commentary</w:t>
      </w:r>
      <w:r>
        <w:rPr>
          <w:rFonts w:ascii="Palatino Linotype" w:eastAsia="Palatino Linotype" w:hAnsi="Palatino Linotype" w:cs="Palatino Linotype"/>
        </w:rPr>
        <w:t xml:space="preserve"> (Cambridge: CUP, 2007) commentary on Section II </w:t>
      </w:r>
    </w:p>
    <w:p w14:paraId="000000AE"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Christine M. Korsgaard</w:t>
      </w:r>
      <w:r>
        <w:rPr>
          <w:rFonts w:ascii="Palatino Linotype" w:eastAsia="Palatino Linotype" w:hAnsi="Palatino Linotype" w:cs="Palatino Linotype"/>
        </w:rPr>
        <w:t xml:space="preserve">, ‘Morality as Freedom’ in both </w:t>
      </w:r>
      <w:r>
        <w:rPr>
          <w:rFonts w:ascii="Palatino Linotype" w:eastAsia="Palatino Linotype" w:hAnsi="Palatino Linotype" w:cs="Palatino Linotype"/>
          <w:i/>
        </w:rPr>
        <w:t>Creating the Kingdom of Ends</w:t>
      </w:r>
      <w:r>
        <w:rPr>
          <w:rFonts w:ascii="Palatino Linotype" w:eastAsia="Palatino Linotype" w:hAnsi="Palatino Linotype" w:cs="Palatino Linotype"/>
        </w:rPr>
        <w:t xml:space="preserve"> (Cambridge: CUP, 1996) and Y. Yovel (ed.) </w:t>
      </w:r>
      <w:r>
        <w:rPr>
          <w:rFonts w:ascii="Palatino Linotype" w:eastAsia="Palatino Linotype" w:hAnsi="Palatino Linotype" w:cs="Palatino Linotype"/>
          <w:i/>
        </w:rPr>
        <w:t>Kant’s Practical Philosophy Reconsidered</w:t>
      </w:r>
      <w:r>
        <w:rPr>
          <w:rFonts w:ascii="Palatino Linotype" w:eastAsia="Palatino Linotype" w:hAnsi="Palatino Linotype" w:cs="Palatino Linotype"/>
        </w:rPr>
        <w:t xml:space="preserve"> (Dortrecht: Kluwer, 1989)</w:t>
      </w:r>
    </w:p>
    <w:p w14:paraId="000000AF" w14:textId="77777777" w:rsidR="00D77828" w:rsidRDefault="00DF5AA9">
      <w:pPr>
        <w:ind w:left="709"/>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The above items of further reading are difficult, for the ambitious. The Korsgaard piece addresses some themes which are addressed in </w:t>
      </w:r>
      <w:r>
        <w:rPr>
          <w:rFonts w:ascii="Palatino Linotype" w:eastAsia="Palatino Linotype" w:hAnsi="Palatino Linotype" w:cs="Palatino Linotype"/>
          <w:i/>
          <w:sz w:val="20"/>
          <w:szCs w:val="20"/>
        </w:rPr>
        <w:t xml:space="preserve">Groundwork </w:t>
      </w:r>
      <w:r>
        <w:rPr>
          <w:rFonts w:ascii="Palatino Linotype" w:eastAsia="Palatino Linotype" w:hAnsi="Palatino Linotype" w:cs="Palatino Linotype"/>
          <w:sz w:val="20"/>
          <w:szCs w:val="20"/>
        </w:rPr>
        <w:t>Part 3, which we might not have time to study, and other parts of Kant’s philosophy.</w:t>
      </w:r>
    </w:p>
    <w:p w14:paraId="000000B0" w14:textId="77777777" w:rsidR="00D77828" w:rsidRDefault="00D77828">
      <w:pPr>
        <w:ind w:left="567" w:hanging="567"/>
        <w:rPr>
          <w:rFonts w:ascii="Palatino Linotype" w:eastAsia="Palatino Linotype" w:hAnsi="Palatino Linotype" w:cs="Palatino Linotype"/>
        </w:rPr>
      </w:pPr>
    </w:p>
    <w:p w14:paraId="000000B1" w14:textId="77777777" w:rsidR="00D77828" w:rsidRDefault="00D77828">
      <w:pPr>
        <w:ind w:left="567" w:hanging="567"/>
        <w:rPr>
          <w:rFonts w:ascii="Palatino Linotype" w:eastAsia="Palatino Linotype" w:hAnsi="Palatino Linotype" w:cs="Palatino Linotype"/>
          <w:b/>
          <w:smallCaps/>
        </w:rPr>
      </w:pPr>
    </w:p>
    <w:p w14:paraId="000000B2" w14:textId="77777777" w:rsidR="00D77828" w:rsidRDefault="00DF5AA9">
      <w:pPr>
        <w:ind w:left="567" w:hanging="567"/>
        <w:rPr>
          <w:rFonts w:ascii="Palatino Linotype" w:eastAsia="Palatino Linotype" w:hAnsi="Palatino Linotype" w:cs="Palatino Linotype"/>
          <w:b/>
          <w:smallCaps/>
          <w:sz w:val="28"/>
          <w:szCs w:val="28"/>
        </w:rPr>
      </w:pPr>
      <w:r>
        <w:rPr>
          <w:rFonts w:ascii="Palatino Linotype" w:eastAsia="Palatino Linotype" w:hAnsi="Palatino Linotype" w:cs="Palatino Linotype"/>
          <w:b/>
          <w:smallCaps/>
          <w:sz w:val="28"/>
          <w:szCs w:val="28"/>
        </w:rPr>
        <w:t xml:space="preserve">The Formulations of the Categorical Imperative </w:t>
      </w:r>
    </w:p>
    <w:p w14:paraId="000000B3" w14:textId="77777777" w:rsidR="00D77828" w:rsidRDefault="00D77828">
      <w:pPr>
        <w:ind w:left="567" w:hanging="567"/>
        <w:rPr>
          <w:rFonts w:ascii="Palatino Linotype" w:eastAsia="Palatino Linotype" w:hAnsi="Palatino Linotype" w:cs="Palatino Linotype"/>
          <w:b/>
          <w:i/>
        </w:rPr>
      </w:pPr>
    </w:p>
    <w:p w14:paraId="000000B4" w14:textId="77777777" w:rsidR="00D77828" w:rsidRDefault="00DF5AA9">
      <w:pPr>
        <w:ind w:left="567" w:hanging="567"/>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Essential Primary Text:</w:t>
      </w:r>
    </w:p>
    <w:p w14:paraId="000000B5" w14:textId="77777777" w:rsidR="00D77828" w:rsidRDefault="00DF5AA9">
      <w:pPr>
        <w:tabs>
          <w:tab w:val="left" w:pos="7690"/>
        </w:tabs>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Immanuel Kant </w:t>
      </w:r>
      <w:r>
        <w:rPr>
          <w:rFonts w:ascii="Palatino Linotype" w:eastAsia="Palatino Linotype" w:hAnsi="Palatino Linotype" w:cs="Palatino Linotype"/>
          <w:sz w:val="24"/>
          <w:szCs w:val="24"/>
        </w:rPr>
        <w:t xml:space="preserve">[1785], </w:t>
      </w:r>
      <w:r>
        <w:rPr>
          <w:rFonts w:ascii="Palatino Linotype" w:eastAsia="Palatino Linotype" w:hAnsi="Palatino Linotype" w:cs="Palatino Linotype"/>
          <w:i/>
          <w:sz w:val="24"/>
          <w:szCs w:val="24"/>
        </w:rPr>
        <w:t>Groundwork for the Metaphysics of Morals</w:t>
      </w:r>
      <w:r>
        <w:rPr>
          <w:rFonts w:ascii="Palatino Linotype" w:eastAsia="Palatino Linotype" w:hAnsi="Palatino Linotype" w:cs="Palatino Linotype"/>
          <w:sz w:val="24"/>
          <w:szCs w:val="24"/>
        </w:rPr>
        <w:t>, Section 2</w:t>
      </w:r>
    </w:p>
    <w:p w14:paraId="000000B6" w14:textId="77777777" w:rsidR="00D77828" w:rsidRDefault="00D77828">
      <w:pPr>
        <w:ind w:left="567" w:hanging="567"/>
        <w:rPr>
          <w:rFonts w:ascii="Palatino Linotype" w:eastAsia="Palatino Linotype" w:hAnsi="Palatino Linotype" w:cs="Palatino Linotype"/>
        </w:rPr>
      </w:pPr>
    </w:p>
    <w:p w14:paraId="000000B7" w14:textId="77777777" w:rsidR="00D77828" w:rsidRDefault="00DF5AA9">
      <w:pPr>
        <w:ind w:left="567" w:hanging="567"/>
        <w:rPr>
          <w:rFonts w:ascii="Palatino Linotype" w:eastAsia="Palatino Linotype" w:hAnsi="Palatino Linotype" w:cs="Palatino Linotype"/>
          <w:b/>
          <w:i/>
        </w:rPr>
      </w:pPr>
      <w:r>
        <w:rPr>
          <w:rFonts w:ascii="Palatino Linotype" w:eastAsia="Palatino Linotype" w:hAnsi="Palatino Linotype" w:cs="Palatino Linotype"/>
          <w:b/>
          <w:i/>
        </w:rPr>
        <w:t>Further Primary Text:</w:t>
      </w:r>
    </w:p>
    <w:p w14:paraId="000000B8" w14:textId="77777777" w:rsidR="00D77828" w:rsidRDefault="00DF5AA9">
      <w:pPr>
        <w:ind w:left="567" w:hanging="567"/>
        <w:rPr>
          <w:rFonts w:ascii="Palatino Linotype" w:eastAsia="Palatino Linotype" w:hAnsi="Palatino Linotype" w:cs="Palatino Linotype"/>
        </w:rPr>
      </w:pPr>
      <w:bookmarkStart w:id="1" w:name="_heading=h.lnz7q22j21f3" w:colFirst="0" w:colLast="0"/>
      <w:bookmarkEnd w:id="1"/>
      <w:r>
        <w:rPr>
          <w:rFonts w:ascii="Palatino Linotype" w:eastAsia="Palatino Linotype" w:hAnsi="Palatino Linotype" w:cs="Palatino Linotype"/>
          <w:b/>
        </w:rPr>
        <w:t xml:space="preserve">Immanuel Kant </w:t>
      </w:r>
      <w:r>
        <w:rPr>
          <w:rFonts w:ascii="Palatino Linotype" w:eastAsia="Palatino Linotype" w:hAnsi="Palatino Linotype" w:cs="Palatino Linotype"/>
        </w:rPr>
        <w:t xml:space="preserve">[1797], ‘On a Supposed Right to Lie from Philanthropic Concern’ in </w:t>
      </w:r>
      <w:r>
        <w:rPr>
          <w:rFonts w:ascii="Palatino Linotype" w:eastAsia="Palatino Linotype" w:hAnsi="Palatino Linotype" w:cs="Palatino Linotype"/>
          <w:i/>
        </w:rPr>
        <w:t>Practical Philosophy</w:t>
      </w:r>
      <w:r>
        <w:rPr>
          <w:rFonts w:ascii="Palatino Linotype" w:eastAsia="Palatino Linotype" w:hAnsi="Palatino Linotype" w:cs="Palatino Linotype"/>
        </w:rPr>
        <w:t xml:space="preserve"> (Cambridge: CUP, 1996)</w:t>
      </w:r>
    </w:p>
    <w:p w14:paraId="000000B9" w14:textId="77777777" w:rsidR="00D77828" w:rsidRDefault="00D77828">
      <w:pPr>
        <w:ind w:left="567" w:hanging="567"/>
        <w:rPr>
          <w:rFonts w:ascii="Palatino Linotype" w:eastAsia="Palatino Linotype" w:hAnsi="Palatino Linotype" w:cs="Palatino Linotype"/>
        </w:rPr>
      </w:pPr>
    </w:p>
    <w:p w14:paraId="000000BA"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i/>
        </w:rPr>
        <w:t>Further Secondary Reading:</w:t>
      </w:r>
    </w:p>
    <w:p w14:paraId="000000BB" w14:textId="77777777" w:rsidR="00D77828" w:rsidRDefault="00DF5AA9">
      <w:pPr>
        <w:ind w:left="567" w:hanging="567"/>
        <w:rPr>
          <w:rFonts w:ascii="Palatino Linotype" w:eastAsia="Palatino Linotype" w:hAnsi="Palatino Linotype" w:cs="Palatino Linotype"/>
        </w:rPr>
      </w:pPr>
      <w:bookmarkStart w:id="2" w:name="_heading=h.777p02l91i4n" w:colFirst="0" w:colLast="0"/>
      <w:bookmarkEnd w:id="2"/>
      <w:r>
        <w:rPr>
          <w:rFonts w:ascii="Palatino Linotype" w:eastAsia="Palatino Linotype" w:hAnsi="Palatino Linotype" w:cs="Palatino Linotype"/>
          <w:b/>
        </w:rPr>
        <w:t>Onora (Nell) O’Neill</w:t>
      </w:r>
      <w:r>
        <w:rPr>
          <w:rFonts w:ascii="Palatino Linotype" w:eastAsia="Palatino Linotype" w:hAnsi="Palatino Linotype" w:cs="Palatino Linotype"/>
        </w:rPr>
        <w:t xml:space="preserve">, </w:t>
      </w:r>
      <w:r>
        <w:rPr>
          <w:rFonts w:ascii="Palatino Linotype" w:eastAsia="Palatino Linotype" w:hAnsi="Palatino Linotype" w:cs="Palatino Linotype"/>
          <w:i/>
        </w:rPr>
        <w:t>Acting on Principle: An Essay on Kantian Ethics</w:t>
      </w:r>
      <w:r>
        <w:rPr>
          <w:rFonts w:ascii="Palatino Linotype" w:eastAsia="Palatino Linotype" w:hAnsi="Palatino Linotype" w:cs="Palatino Linotype"/>
        </w:rPr>
        <w:t xml:space="preserve"> (New York: Columbia University Press, 1975), Chapter 5</w:t>
      </w:r>
    </w:p>
    <w:p w14:paraId="000000BC" w14:textId="77777777" w:rsidR="00D77828" w:rsidRDefault="00DF5AA9">
      <w:pPr>
        <w:ind w:left="709"/>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O’Neill’s book (originally published under her maiden name, Nell) is good to read generally, and in this chapter she has a very interesting discussion of the application of the Categorical Imperative. She endorses an interpretation which I will argue against in the lecture – an interpretation also endorsed by:</w:t>
      </w:r>
    </w:p>
    <w:p w14:paraId="000000BD"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John Rawls</w:t>
      </w:r>
      <w:r>
        <w:rPr>
          <w:rFonts w:ascii="Palatino Linotype" w:eastAsia="Palatino Linotype" w:hAnsi="Palatino Linotype" w:cs="Palatino Linotype"/>
        </w:rPr>
        <w:t xml:space="preserve">, </w:t>
      </w:r>
      <w:r>
        <w:rPr>
          <w:rFonts w:ascii="Palatino Linotype" w:eastAsia="Palatino Linotype" w:hAnsi="Palatino Linotype" w:cs="Palatino Linotype"/>
          <w:i/>
        </w:rPr>
        <w:t>Lectures on the History of Moral Philosophy</w:t>
      </w:r>
      <w:r>
        <w:rPr>
          <w:rFonts w:ascii="Palatino Linotype" w:eastAsia="Palatino Linotype" w:hAnsi="Palatino Linotype" w:cs="Palatino Linotype"/>
        </w:rPr>
        <w:t xml:space="preserve"> (Cambridge, Mass.: Harvard University Press, 2000) pp. 162-80</w:t>
      </w:r>
    </w:p>
    <w:p w14:paraId="000000BE" w14:textId="77777777" w:rsidR="00D77828" w:rsidRDefault="00DF5AA9">
      <w:pPr>
        <w:ind w:left="709"/>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In this section of the book, Rawls discusses the first (universal law) formulation of the Categorical Imperative. Also worth reading are the sections on the other formulations, and other aspects of Kant’s philosophy, which are easily located by using the Contents at the front of the book.</w:t>
      </w:r>
    </w:p>
    <w:p w14:paraId="000000BF" w14:textId="77777777" w:rsidR="00D77828" w:rsidRDefault="00DF5AA9">
      <w:pPr>
        <w:ind w:left="567" w:hanging="567"/>
        <w:rPr>
          <w:rFonts w:ascii="Palatino Linotype" w:eastAsia="Palatino Linotype" w:hAnsi="Palatino Linotype" w:cs="Palatino Linotype"/>
        </w:rPr>
      </w:pPr>
      <w:bookmarkStart w:id="3" w:name="_heading=h.xc7gmtyky1vk" w:colFirst="0" w:colLast="0"/>
      <w:bookmarkEnd w:id="3"/>
      <w:r>
        <w:rPr>
          <w:rFonts w:ascii="Palatino Linotype" w:eastAsia="Palatino Linotype" w:hAnsi="Palatino Linotype" w:cs="Palatino Linotype"/>
          <w:b/>
        </w:rPr>
        <w:t>Allen W. Wood</w:t>
      </w:r>
      <w:r>
        <w:rPr>
          <w:rFonts w:ascii="Palatino Linotype" w:eastAsia="Palatino Linotype" w:hAnsi="Palatino Linotype" w:cs="Palatino Linotype"/>
        </w:rPr>
        <w:t xml:space="preserve">, </w:t>
      </w:r>
      <w:r>
        <w:rPr>
          <w:rFonts w:ascii="Palatino Linotype" w:eastAsia="Palatino Linotype" w:hAnsi="Palatino Linotype" w:cs="Palatino Linotype"/>
          <w:i/>
        </w:rPr>
        <w:t>Kant’s Ethical Thought</w:t>
      </w:r>
      <w:r>
        <w:rPr>
          <w:rFonts w:ascii="Palatino Linotype" w:eastAsia="Palatino Linotype" w:hAnsi="Palatino Linotype" w:cs="Palatino Linotype"/>
        </w:rPr>
        <w:t xml:space="preserve"> (Cambridge: CUP, 1999), Chapter 3</w:t>
      </w:r>
    </w:p>
    <w:p w14:paraId="000000C0" w14:textId="77777777" w:rsidR="00D77828" w:rsidRDefault="00DF5AA9">
      <w:pPr>
        <w:ind w:left="709"/>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Wood argues that the famous first (universal law) formulation of the Categorical Imperative is not actually equivalent to the other formulations – and is not the most precise version of Kant’s fundamental principle of morality (he prefers the formulae of humanity and kingdom of ends). His discussion of the first formulation is interesting, though. Like the books by Rawls and O’Neill, above, Wood’s book is generally worth looking at on any aspect of Kant’s moral philosophy. </w:t>
      </w:r>
    </w:p>
    <w:p w14:paraId="000000C1"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Jens Timmermann</w:t>
      </w:r>
      <w:r>
        <w:rPr>
          <w:rFonts w:ascii="Palatino Linotype" w:eastAsia="Palatino Linotype" w:hAnsi="Palatino Linotype" w:cs="Palatino Linotype"/>
        </w:rPr>
        <w:t xml:space="preserve">, </w:t>
      </w:r>
      <w:r>
        <w:rPr>
          <w:rFonts w:ascii="Palatino Linotype" w:eastAsia="Palatino Linotype" w:hAnsi="Palatino Linotype" w:cs="Palatino Linotype"/>
          <w:i/>
        </w:rPr>
        <w:t>Kant’s Groundwork for the Metaphysics of Morals: A Commentary</w:t>
      </w:r>
      <w:r>
        <w:rPr>
          <w:rFonts w:ascii="Palatino Linotype" w:eastAsia="Palatino Linotype" w:hAnsi="Palatino Linotype" w:cs="Palatino Linotype"/>
        </w:rPr>
        <w:t xml:space="preserve"> (Cambridge: CUP, 2007), Appendix C (‘Universal Legislation, Ends and Puzzle Maxims’)</w:t>
      </w:r>
    </w:p>
    <w:p w14:paraId="000000C2" w14:textId="77777777" w:rsidR="00D77828" w:rsidRDefault="00DF5AA9">
      <w:pPr>
        <w:ind w:left="851"/>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Timmermann offers another proposal about how to deal with apparent counterexamples to the adequacy of the first (universal law) formulation of the categorical imperative.</w:t>
      </w:r>
    </w:p>
    <w:p w14:paraId="000000C3"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Christine M. Korsgaard</w:t>
      </w:r>
      <w:r>
        <w:rPr>
          <w:rFonts w:ascii="Palatino Linotype" w:eastAsia="Palatino Linotype" w:hAnsi="Palatino Linotype" w:cs="Palatino Linotype"/>
        </w:rPr>
        <w:t xml:space="preserve">, ‘Kant’s Formula of Universal Law’, </w:t>
      </w:r>
      <w:r>
        <w:rPr>
          <w:rFonts w:ascii="Palatino Linotype" w:eastAsia="Palatino Linotype" w:hAnsi="Palatino Linotype" w:cs="Palatino Linotype"/>
          <w:i/>
        </w:rPr>
        <w:t>Pacific Philosophical Quarterly</w:t>
      </w:r>
      <w:r>
        <w:rPr>
          <w:rFonts w:ascii="Palatino Linotype" w:eastAsia="Palatino Linotype" w:hAnsi="Palatino Linotype" w:cs="Palatino Linotype"/>
        </w:rPr>
        <w:t xml:space="preserve"> 66:1 (1985), pp. 24-47</w:t>
      </w:r>
    </w:p>
    <w:p w14:paraId="000000C4"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______________________</w:t>
      </w:r>
      <w:r>
        <w:rPr>
          <w:rFonts w:ascii="Palatino Linotype" w:eastAsia="Palatino Linotype" w:hAnsi="Palatino Linotype" w:cs="Palatino Linotype"/>
        </w:rPr>
        <w:t xml:space="preserve">, ‘Kant’s Formula of Humanity’, </w:t>
      </w:r>
      <w:r>
        <w:rPr>
          <w:rFonts w:ascii="Palatino Linotype" w:eastAsia="Palatino Linotype" w:hAnsi="Palatino Linotype" w:cs="Palatino Linotype"/>
          <w:i/>
        </w:rPr>
        <w:t>Kant-Studien</w:t>
      </w:r>
      <w:r>
        <w:rPr>
          <w:rFonts w:ascii="Palatino Linotype" w:eastAsia="Palatino Linotype" w:hAnsi="Palatino Linotype" w:cs="Palatino Linotype"/>
        </w:rPr>
        <w:t xml:space="preserve"> 77:2 (1986), pp. 183-202</w:t>
      </w:r>
    </w:p>
    <w:p w14:paraId="000000C5" w14:textId="77777777" w:rsidR="00D77828" w:rsidRDefault="00DF5AA9">
      <w:pPr>
        <w:ind w:left="851"/>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 xml:space="preserve">In these papers, Korsgaard offers interesting (separate) discussions of the first two formulations of the Categorical Imperative. Both papers are reprinted in her </w:t>
      </w:r>
      <w:r>
        <w:rPr>
          <w:rFonts w:ascii="Palatino Linotype" w:eastAsia="Palatino Linotype" w:hAnsi="Palatino Linotype" w:cs="Palatino Linotype"/>
          <w:i/>
          <w:sz w:val="20"/>
          <w:szCs w:val="20"/>
        </w:rPr>
        <w:t>Creating the Kingdom of Ends</w:t>
      </w:r>
      <w:r>
        <w:rPr>
          <w:rFonts w:ascii="Palatino Linotype" w:eastAsia="Palatino Linotype" w:hAnsi="Palatino Linotype" w:cs="Palatino Linotype"/>
          <w:sz w:val="20"/>
          <w:szCs w:val="20"/>
        </w:rPr>
        <w:t xml:space="preserve"> (Cambridge: CUP, 1996).</w:t>
      </w:r>
    </w:p>
    <w:p w14:paraId="000000C6" w14:textId="77777777" w:rsidR="00D77828" w:rsidRDefault="00DF5AA9">
      <w:pPr>
        <w:ind w:left="567" w:hanging="567"/>
        <w:rPr>
          <w:rFonts w:ascii="Palatino Linotype" w:eastAsia="Palatino Linotype" w:hAnsi="Palatino Linotype" w:cs="Palatino Linotype"/>
        </w:rPr>
      </w:pPr>
      <w:r>
        <w:rPr>
          <w:rFonts w:ascii="Palatino Linotype" w:eastAsia="Palatino Linotype" w:hAnsi="Palatino Linotype" w:cs="Palatino Linotype"/>
          <w:b/>
        </w:rPr>
        <w:t>Marcus Arvan</w:t>
      </w:r>
      <w:r>
        <w:rPr>
          <w:rFonts w:ascii="Palatino Linotype" w:eastAsia="Palatino Linotype" w:hAnsi="Palatino Linotype" w:cs="Palatino Linotype"/>
        </w:rPr>
        <w:t xml:space="preserve">, ‘Unifying the Categorical Imperative’, </w:t>
      </w:r>
      <w:r>
        <w:rPr>
          <w:rFonts w:ascii="Palatino Linotype" w:eastAsia="Palatino Linotype" w:hAnsi="Palatino Linotype" w:cs="Palatino Linotype"/>
          <w:i/>
        </w:rPr>
        <w:t xml:space="preserve">Southwest Philosophy Review </w:t>
      </w:r>
      <w:r>
        <w:rPr>
          <w:rFonts w:ascii="Palatino Linotype" w:eastAsia="Palatino Linotype" w:hAnsi="Palatino Linotype" w:cs="Palatino Linotype"/>
        </w:rPr>
        <w:t>28:1 (2012), pp. 217-25</w:t>
      </w:r>
    </w:p>
    <w:p w14:paraId="000000C7" w14:textId="77777777" w:rsidR="00D77828" w:rsidRDefault="00D77828">
      <w:pPr>
        <w:ind w:left="567" w:hanging="567"/>
        <w:rPr>
          <w:rFonts w:ascii="Palatino Linotype" w:eastAsia="Palatino Linotype" w:hAnsi="Palatino Linotype" w:cs="Palatino Linotype"/>
          <w:sz w:val="32"/>
          <w:szCs w:val="32"/>
        </w:rPr>
      </w:pPr>
    </w:p>
    <w:p w14:paraId="000000C8" w14:textId="77777777" w:rsidR="00D77828" w:rsidRDefault="00DF5AA9">
      <w:pPr>
        <w:ind w:left="567" w:hanging="567"/>
        <w:rPr>
          <w:rFonts w:ascii="Palatino Linotype" w:eastAsia="Palatino Linotype" w:hAnsi="Palatino Linotype" w:cs="Palatino Linotype"/>
          <w:b/>
          <w:smallCaps/>
          <w:sz w:val="28"/>
          <w:szCs w:val="28"/>
        </w:rPr>
      </w:pPr>
      <w:r>
        <w:rPr>
          <w:rFonts w:ascii="Palatino Linotype" w:eastAsia="Palatino Linotype" w:hAnsi="Palatino Linotype" w:cs="Palatino Linotype"/>
          <w:b/>
          <w:smallCaps/>
          <w:sz w:val="28"/>
          <w:szCs w:val="28"/>
        </w:rPr>
        <w:t xml:space="preserve">Free Will: The Necessary Precondition of the Categorical Imperative </w:t>
      </w:r>
    </w:p>
    <w:p w14:paraId="000000C9" w14:textId="77777777" w:rsidR="00D77828" w:rsidRDefault="00D77828">
      <w:pPr>
        <w:ind w:left="567" w:hanging="567"/>
        <w:rPr>
          <w:rFonts w:ascii="Palatino Linotype" w:eastAsia="Palatino Linotype" w:hAnsi="Palatino Linotype" w:cs="Palatino Linotype"/>
          <w:b/>
          <w:smallCaps/>
          <w:sz w:val="28"/>
          <w:szCs w:val="28"/>
        </w:rPr>
      </w:pPr>
    </w:p>
    <w:p w14:paraId="000000CA" w14:textId="77777777" w:rsidR="00D77828" w:rsidRDefault="00DF5AA9">
      <w:pPr>
        <w:ind w:left="567" w:hanging="567"/>
        <w:rPr>
          <w:rFonts w:ascii="Palatino Linotype" w:eastAsia="Palatino Linotype" w:hAnsi="Palatino Linotype" w:cs="Palatino Linotype"/>
          <w:b/>
          <w:i/>
          <w:sz w:val="24"/>
          <w:szCs w:val="24"/>
        </w:rPr>
      </w:pPr>
      <w:r>
        <w:rPr>
          <w:rFonts w:ascii="Palatino Linotype" w:eastAsia="Palatino Linotype" w:hAnsi="Palatino Linotype" w:cs="Palatino Linotype"/>
          <w:b/>
          <w:i/>
          <w:sz w:val="24"/>
          <w:szCs w:val="24"/>
        </w:rPr>
        <w:t>Essential Primary Text:</w:t>
      </w:r>
    </w:p>
    <w:p w14:paraId="000000CB" w14:textId="77777777" w:rsidR="00D77828" w:rsidRDefault="00DF5AA9">
      <w:pPr>
        <w:tabs>
          <w:tab w:val="left" w:pos="7690"/>
        </w:tabs>
        <w:ind w:left="567" w:hanging="567"/>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Immanuel Kant </w:t>
      </w:r>
      <w:r>
        <w:rPr>
          <w:rFonts w:ascii="Palatino Linotype" w:eastAsia="Palatino Linotype" w:hAnsi="Palatino Linotype" w:cs="Palatino Linotype"/>
          <w:sz w:val="24"/>
          <w:szCs w:val="24"/>
        </w:rPr>
        <w:t xml:space="preserve">[1785], </w:t>
      </w:r>
      <w:r>
        <w:rPr>
          <w:rFonts w:ascii="Palatino Linotype" w:eastAsia="Palatino Linotype" w:hAnsi="Palatino Linotype" w:cs="Palatino Linotype"/>
          <w:i/>
          <w:sz w:val="24"/>
          <w:szCs w:val="24"/>
        </w:rPr>
        <w:t>Groundwork for the Metaphysics of Morals</w:t>
      </w:r>
      <w:r>
        <w:rPr>
          <w:rFonts w:ascii="Palatino Linotype" w:eastAsia="Palatino Linotype" w:hAnsi="Palatino Linotype" w:cs="Palatino Linotype"/>
          <w:sz w:val="24"/>
          <w:szCs w:val="24"/>
        </w:rPr>
        <w:t>, Section 3</w:t>
      </w:r>
    </w:p>
    <w:p w14:paraId="000000CC" w14:textId="77777777" w:rsidR="00D77828" w:rsidRDefault="00D77828">
      <w:pPr>
        <w:tabs>
          <w:tab w:val="left" w:pos="7690"/>
        </w:tabs>
        <w:ind w:left="567" w:hanging="567"/>
        <w:rPr>
          <w:rFonts w:ascii="Palatino Linotype" w:eastAsia="Palatino Linotype" w:hAnsi="Palatino Linotype" w:cs="Palatino Linotype"/>
        </w:rPr>
      </w:pPr>
    </w:p>
    <w:p w14:paraId="000000CD" w14:textId="77777777" w:rsidR="00D77828" w:rsidRDefault="00D77828">
      <w:pPr>
        <w:rPr>
          <w:rFonts w:ascii="Palatino Linotype" w:eastAsia="Palatino Linotype" w:hAnsi="Palatino Linotype" w:cs="Palatino Linotype"/>
          <w:sz w:val="24"/>
          <w:szCs w:val="24"/>
        </w:rPr>
      </w:pPr>
    </w:p>
    <w:p w14:paraId="000000CE" w14:textId="77777777" w:rsidR="00D77828" w:rsidRDefault="00D77828">
      <w:pPr>
        <w:rPr>
          <w:rFonts w:ascii="Palatino Linotype" w:eastAsia="Palatino Linotype" w:hAnsi="Palatino Linotype" w:cs="Palatino Linotype"/>
          <w:sz w:val="24"/>
          <w:szCs w:val="24"/>
        </w:rPr>
      </w:pPr>
    </w:p>
    <w:p w14:paraId="000000CF" w14:textId="77777777" w:rsidR="00D77828" w:rsidRDefault="00D77828">
      <w:pPr>
        <w:rPr>
          <w:rFonts w:ascii="Palatino Linotype" w:eastAsia="Palatino Linotype" w:hAnsi="Palatino Linotype" w:cs="Palatino Linotype"/>
          <w:sz w:val="24"/>
          <w:szCs w:val="24"/>
        </w:rPr>
      </w:pPr>
    </w:p>
    <w:p w14:paraId="000000D0" w14:textId="77777777" w:rsidR="00D77828" w:rsidRDefault="00D77828">
      <w:pPr>
        <w:rPr>
          <w:rFonts w:ascii="Palatino Linotype" w:eastAsia="Palatino Linotype" w:hAnsi="Palatino Linotype" w:cs="Palatino Linotype"/>
          <w:sz w:val="24"/>
          <w:szCs w:val="24"/>
        </w:rPr>
      </w:pPr>
    </w:p>
    <w:p w14:paraId="000000D1" w14:textId="77777777" w:rsidR="00D77828" w:rsidRDefault="00D77828">
      <w:pPr>
        <w:rPr>
          <w:rFonts w:ascii="Palatino Linotype" w:eastAsia="Palatino Linotype" w:hAnsi="Palatino Linotype" w:cs="Palatino Linotype"/>
          <w:sz w:val="24"/>
          <w:szCs w:val="24"/>
        </w:rPr>
      </w:pPr>
    </w:p>
    <w:sectPr w:rsidR="00D77828">
      <w:headerReference w:type="default" r:id="rId11"/>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4CA18F" w14:textId="77777777" w:rsidR="00DF5AA9" w:rsidRDefault="00DF5AA9">
      <w:r>
        <w:separator/>
      </w:r>
    </w:p>
  </w:endnote>
  <w:endnote w:type="continuationSeparator" w:id="0">
    <w:p w14:paraId="36589A83" w14:textId="77777777" w:rsidR="00DF5AA9" w:rsidRDefault="00DF5A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175E667-C9AC-4667-9DF8-8B561B7858A7}"/>
    <w:embedBold r:id="rId2" w:fontKey="{A4C3C670-A4EC-4BB5-AD7C-4EAE115339E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710C9723-A918-4DFC-ADF4-6E4D6A80765E}"/>
    <w:embedItalic r:id="rId4" w:fontKey="{E2C92782-9F4A-4D00-AE7D-DF49B05580B8}"/>
  </w:font>
  <w:font w:name="Palatino Linotype">
    <w:panose1 w:val="02040502050505030304"/>
    <w:charset w:val="00"/>
    <w:family w:val="roman"/>
    <w:pitch w:val="variable"/>
    <w:sig w:usb0="E0000287" w:usb1="40000013" w:usb2="00000000" w:usb3="00000000" w:csb0="0000019F" w:csb1="00000000"/>
    <w:embedRegular r:id="rId5" w:fontKey="{0ADAE508-0B6C-43BA-B2D6-1B421C4634EF}"/>
    <w:embedBold r:id="rId6" w:fontKey="{BC5AF964-0E12-49B9-B046-0C0DA8956BEA}"/>
    <w:embedItalic r:id="rId7" w:fontKey="{8F653D4F-108B-4B15-8E44-14211A498797}"/>
    <w:embedBoldItalic r:id="rId8" w:fontKey="{BABF0408-EEC1-4E71-83EC-40791FD27438}"/>
  </w:font>
  <w:font w:name="Calibri Light">
    <w:panose1 w:val="020F0302020204030204"/>
    <w:charset w:val="00"/>
    <w:family w:val="swiss"/>
    <w:pitch w:val="variable"/>
    <w:sig w:usb0="E4002EFF" w:usb1="C200247B" w:usb2="00000009" w:usb3="00000000" w:csb0="000001FF" w:csb1="00000000"/>
    <w:embedRegular r:id="rId9" w:fontKey="{9C8778C7-BBC9-4B2C-A0F9-2DBFDD6E78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C" w14:textId="3F1C119B" w:rsidR="00D77828" w:rsidRDefault="00DF5AA9">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0DD" w14:textId="77777777" w:rsidR="00D77828" w:rsidRDefault="00D77828">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C784A" w14:textId="77777777" w:rsidR="00DF5AA9" w:rsidRDefault="00DF5AA9">
      <w:r>
        <w:separator/>
      </w:r>
    </w:p>
  </w:footnote>
  <w:footnote w:type="continuationSeparator" w:id="0">
    <w:p w14:paraId="482ACFCD" w14:textId="77777777" w:rsidR="00DF5AA9" w:rsidRDefault="00DF5AA9">
      <w:r>
        <w:continuationSeparator/>
      </w:r>
    </w:p>
  </w:footnote>
  <w:footnote w:id="1">
    <w:p w14:paraId="000000D2" w14:textId="77777777" w:rsidR="00D77828" w:rsidRDefault="00DF5AA9">
      <w:pPr>
        <w:pBdr>
          <w:top w:val="nil"/>
          <w:left w:val="nil"/>
          <w:bottom w:val="nil"/>
          <w:right w:val="nil"/>
          <w:between w:val="nil"/>
        </w:pBdr>
        <w:rPr>
          <w:rFonts w:ascii="Palatino Linotype" w:eastAsia="Palatino Linotype" w:hAnsi="Palatino Linotype" w:cs="Palatino Linotype"/>
          <w:color w:val="242424"/>
          <w:sz w:val="20"/>
          <w:szCs w:val="20"/>
        </w:rPr>
      </w:pPr>
      <w:r>
        <w:rPr>
          <w:rStyle w:val="FootnoteReference"/>
        </w:rPr>
        <w:footnoteRef/>
      </w:r>
      <w:r>
        <w:rPr>
          <w:rFonts w:ascii="Palatino Linotype" w:eastAsia="Palatino Linotype" w:hAnsi="Palatino Linotype" w:cs="Palatino Linotype"/>
          <w:color w:val="000000"/>
          <w:sz w:val="20"/>
          <w:szCs w:val="20"/>
        </w:rPr>
        <w:t xml:space="preserve"> Of whom F. B. Kaye wrote, in his 1924 Introduction to a critical edition of Mandeville’s work, ‘</w:t>
      </w:r>
      <w:r>
        <w:rPr>
          <w:rFonts w:ascii="Palatino Linotype" w:eastAsia="Palatino Linotype" w:hAnsi="Palatino Linotype" w:cs="Palatino Linotype"/>
          <w:color w:val="242424"/>
          <w:sz w:val="20"/>
          <w:szCs w:val="20"/>
        </w:rPr>
        <w:t>leaving aside the possible and the indirect in Mandeville's influence and considering only his probable and immediate effect, his influence bulks so large in the two great fields of ethics and economics</w:t>
      </w:r>
      <w:r>
        <w:rPr>
          <w:rFonts w:ascii="Palatino Linotype" w:eastAsia="Palatino Linotype" w:hAnsi="Palatino Linotype" w:cs="Palatino Linotype"/>
          <w:color w:val="242424"/>
          <w:sz w:val="20"/>
          <w:szCs w:val="20"/>
          <w:vertAlign w:val="superscript"/>
        </w:rPr>
        <w:t xml:space="preserve"> </w:t>
      </w:r>
      <w:r>
        <w:rPr>
          <w:rFonts w:ascii="Palatino Linotype" w:eastAsia="Palatino Linotype" w:hAnsi="Palatino Linotype" w:cs="Palatino Linotype"/>
          <w:color w:val="242424"/>
          <w:sz w:val="20"/>
          <w:szCs w:val="20"/>
        </w:rPr>
        <w:t xml:space="preserve">that it is doubtful whether a dozen English works can be found in the entire eighteenth century of such historical importance as [Mandeville’s] </w:t>
      </w:r>
      <w:r>
        <w:rPr>
          <w:rFonts w:ascii="Palatino Linotype" w:eastAsia="Palatino Linotype" w:hAnsi="Palatino Linotype" w:cs="Palatino Linotype"/>
          <w:i/>
          <w:color w:val="242424"/>
          <w:sz w:val="20"/>
          <w:szCs w:val="20"/>
        </w:rPr>
        <w:t>The Fable of the Bees</w:t>
      </w:r>
      <w:r>
        <w:rPr>
          <w:rFonts w:ascii="Palatino Linotype" w:eastAsia="Palatino Linotype" w:hAnsi="Palatino Linotype" w:cs="Palatino Linotype"/>
          <w:color w:val="242424"/>
          <w:sz w:val="20"/>
          <w:szCs w:val="20"/>
        </w:rPr>
        <w:t>.’</w:t>
      </w:r>
    </w:p>
  </w:footnote>
  <w:footnote w:id="2">
    <w:p w14:paraId="000000D3" w14:textId="77777777" w:rsidR="00D77828" w:rsidRDefault="00DF5AA9">
      <w:pPr>
        <w:pBdr>
          <w:top w:val="nil"/>
          <w:left w:val="nil"/>
          <w:bottom w:val="nil"/>
          <w:right w:val="nil"/>
          <w:between w:val="nil"/>
        </w:pBdr>
        <w:rPr>
          <w:rFonts w:ascii="Palatino Linotype" w:eastAsia="Palatino Linotype" w:hAnsi="Palatino Linotype" w:cs="Palatino Linotype"/>
          <w:color w:val="000000"/>
          <w:sz w:val="20"/>
          <w:szCs w:val="20"/>
        </w:rPr>
      </w:pPr>
      <w:r>
        <w:rPr>
          <w:rStyle w:val="FootnoteReference"/>
        </w:rPr>
        <w:footnoteRef/>
      </w:r>
      <w:r>
        <w:rPr>
          <w:rFonts w:ascii="Palatino Linotype" w:eastAsia="Palatino Linotype" w:hAnsi="Palatino Linotype" w:cs="Palatino Linotype"/>
          <w:color w:val="000000"/>
          <w:sz w:val="20"/>
          <w:szCs w:val="20"/>
        </w:rPr>
        <w:t xml:space="preserve"> Perhaps there will soon be a resurgence of interest in some of these medieval philosophers and their ethical theories – recently medieval metaphysics has come back into fashion a little, and there is a </w:t>
      </w:r>
      <w:r>
        <w:rPr>
          <w:rFonts w:ascii="Palatino Linotype" w:eastAsia="Palatino Linotype" w:hAnsi="Palatino Linotype" w:cs="Palatino Linotype"/>
          <w:i/>
          <w:color w:val="000000"/>
          <w:sz w:val="20"/>
          <w:szCs w:val="20"/>
        </w:rPr>
        <w:t>Cambridge Companion to Medieval Ethics</w:t>
      </w:r>
      <w:r>
        <w:rPr>
          <w:rFonts w:ascii="Palatino Linotype" w:eastAsia="Palatino Linotype" w:hAnsi="Palatino Linotype" w:cs="Palatino Linotype"/>
          <w:color w:val="000000"/>
          <w:sz w:val="20"/>
          <w:szCs w:val="20"/>
        </w:rPr>
        <w:t xml:space="preserve"> due to be published in January 2019. </w:t>
      </w:r>
    </w:p>
  </w:footnote>
  <w:footnote w:id="3">
    <w:p w14:paraId="000000D4" w14:textId="77777777" w:rsidR="00D77828" w:rsidRDefault="00DF5AA9">
      <w:pPr>
        <w:pBdr>
          <w:top w:val="nil"/>
          <w:left w:val="nil"/>
          <w:bottom w:val="nil"/>
          <w:right w:val="nil"/>
          <w:between w:val="nil"/>
        </w:pBdr>
        <w:rPr>
          <w:rFonts w:ascii="Palatino Linotype" w:eastAsia="Palatino Linotype" w:hAnsi="Palatino Linotype" w:cs="Palatino Linotype"/>
          <w:color w:val="000000"/>
          <w:sz w:val="20"/>
          <w:szCs w:val="20"/>
        </w:rPr>
      </w:pPr>
      <w:r>
        <w:rPr>
          <w:rStyle w:val="FootnoteReference"/>
        </w:rPr>
        <w:footnoteRef/>
      </w:r>
      <w:r>
        <w:rPr>
          <w:rFonts w:ascii="Palatino Linotype" w:eastAsia="Palatino Linotype" w:hAnsi="Palatino Linotype" w:cs="Palatino Linotype"/>
          <w:color w:val="000000"/>
          <w:sz w:val="20"/>
          <w:szCs w:val="20"/>
        </w:rPr>
        <w:t xml:space="preserve"> Of course, usury is still a live issue – and has recently been considered an especially live issue – in Islamic ethics, and you can find many detailed discussions of sharia banking. And those of us who have recently taken out mortgages and those of you who have student loans will realise very well that lending money at interest is still very much a pertinent issue! So, perhaps thinking about the </w:t>
      </w:r>
      <w:r>
        <w:rPr>
          <w:rFonts w:ascii="Palatino Linotype" w:eastAsia="Palatino Linotype" w:hAnsi="Palatino Linotype" w:cs="Palatino Linotype"/>
          <w:i/>
          <w:color w:val="000000"/>
          <w:sz w:val="20"/>
          <w:szCs w:val="20"/>
        </w:rPr>
        <w:t>ethics</w:t>
      </w:r>
      <w:r>
        <w:rPr>
          <w:rFonts w:ascii="Palatino Linotype" w:eastAsia="Palatino Linotype" w:hAnsi="Palatino Linotype" w:cs="Palatino Linotype"/>
          <w:color w:val="000000"/>
          <w:sz w:val="20"/>
          <w:szCs w:val="20"/>
        </w:rPr>
        <w:t xml:space="preserve"> of it again is very important. My point about the usury issue falling out of concern for ‘analytic’ philo</w:t>
      </w:r>
      <w:r>
        <w:rPr>
          <w:rFonts w:ascii="Palatino Linotype" w:eastAsia="Palatino Linotype" w:hAnsi="Palatino Linotype" w:cs="Palatino Linotype"/>
          <w:color w:val="000000"/>
          <w:sz w:val="20"/>
          <w:szCs w:val="20"/>
        </w:rPr>
        <w:t xml:space="preserve">sophers, and for a great many other people, is not that the issues aren’t important, but just that there is some consensus (which we should examine the legitimacy of) that lending money at interest is not inherently morally problematic. </w:t>
      </w:r>
    </w:p>
  </w:footnote>
  <w:footnote w:id="4">
    <w:p w14:paraId="000000D5" w14:textId="77777777" w:rsidR="00D77828" w:rsidRDefault="00DF5AA9">
      <w:pPr>
        <w:pBdr>
          <w:top w:val="nil"/>
          <w:left w:val="nil"/>
          <w:bottom w:val="nil"/>
          <w:right w:val="nil"/>
          <w:between w:val="nil"/>
        </w:pBdr>
        <w:rPr>
          <w:rFonts w:ascii="Palatino Linotype" w:eastAsia="Palatino Linotype" w:hAnsi="Palatino Linotype" w:cs="Palatino Linotype"/>
          <w:color w:val="000000"/>
          <w:sz w:val="20"/>
          <w:szCs w:val="20"/>
        </w:rPr>
      </w:pPr>
      <w:r>
        <w:rPr>
          <w:rStyle w:val="FootnoteReference"/>
        </w:rPr>
        <w:footnoteRef/>
      </w:r>
      <w:r>
        <w:rPr>
          <w:rFonts w:ascii="Palatino Linotype" w:eastAsia="Palatino Linotype" w:hAnsi="Palatino Linotype" w:cs="Palatino Linotype"/>
          <w:color w:val="000000"/>
          <w:sz w:val="20"/>
          <w:szCs w:val="20"/>
        </w:rPr>
        <w:t xml:space="preserve"> For Nietzsche on ‘untimeliness’, see his </w:t>
      </w:r>
      <w:r>
        <w:rPr>
          <w:rFonts w:ascii="Palatino Linotype" w:eastAsia="Palatino Linotype" w:hAnsi="Palatino Linotype" w:cs="Palatino Linotype"/>
          <w:i/>
          <w:color w:val="000000"/>
          <w:sz w:val="20"/>
          <w:szCs w:val="20"/>
        </w:rPr>
        <w:t>Untimely Meditations</w:t>
      </w:r>
      <w:r>
        <w:rPr>
          <w:rFonts w:ascii="Palatino Linotype" w:eastAsia="Palatino Linotype" w:hAnsi="Palatino Linotype" w:cs="Palatino Linotype"/>
          <w:color w:val="000000"/>
          <w:sz w:val="20"/>
          <w:szCs w:val="20"/>
        </w:rPr>
        <w:t xml:space="preserve"> – some of which those taking the Nietzsche module in Spring term will read.</w:t>
      </w:r>
    </w:p>
  </w:footnote>
  <w:footnote w:id="5">
    <w:p w14:paraId="000000D6" w14:textId="77777777" w:rsidR="00D77828" w:rsidRDefault="00DF5AA9">
      <w:pPr>
        <w:pBdr>
          <w:top w:val="nil"/>
          <w:left w:val="nil"/>
          <w:bottom w:val="nil"/>
          <w:right w:val="nil"/>
          <w:between w:val="nil"/>
        </w:pBdr>
        <w:rPr>
          <w:rFonts w:ascii="Palatino Linotype" w:eastAsia="Palatino Linotype" w:hAnsi="Palatino Linotype" w:cs="Palatino Linotype"/>
          <w:color w:val="000000"/>
          <w:sz w:val="20"/>
          <w:szCs w:val="20"/>
        </w:rPr>
      </w:pPr>
      <w:r>
        <w:rPr>
          <w:rStyle w:val="FootnoteReference"/>
        </w:rPr>
        <w:footnoteRef/>
      </w:r>
      <w:r>
        <w:rPr>
          <w:rFonts w:ascii="Palatino Linotype" w:eastAsia="Palatino Linotype" w:hAnsi="Palatino Linotype" w:cs="Palatino Linotype"/>
          <w:color w:val="000000"/>
          <w:sz w:val="20"/>
          <w:szCs w:val="20"/>
        </w:rPr>
        <w:t xml:space="preserve"> The </w:t>
      </w:r>
      <w:r>
        <w:rPr>
          <w:rFonts w:ascii="Palatino Linotype" w:eastAsia="Palatino Linotype" w:hAnsi="Palatino Linotype" w:cs="Palatino Linotype"/>
          <w:i/>
          <w:color w:val="000000"/>
          <w:sz w:val="20"/>
          <w:szCs w:val="20"/>
        </w:rPr>
        <w:t>Groundwork</w:t>
      </w:r>
      <w:r>
        <w:rPr>
          <w:rFonts w:ascii="Palatino Linotype" w:eastAsia="Palatino Linotype" w:hAnsi="Palatino Linotype" w:cs="Palatino Linotype"/>
          <w:color w:val="000000"/>
          <w:sz w:val="20"/>
          <w:szCs w:val="20"/>
        </w:rPr>
        <w:t xml:space="preserve"> was Kant’s first major contribution (of lasting importance) to moral philosophy, and was published in 1785. Over the course of the next twelve or so years, he published several other major works either entirely or substantially concerned with moral philosophy: </w:t>
      </w:r>
      <w:r>
        <w:rPr>
          <w:rFonts w:ascii="Palatino Linotype" w:eastAsia="Palatino Linotype" w:hAnsi="Palatino Linotype" w:cs="Palatino Linotype"/>
          <w:i/>
          <w:color w:val="000000"/>
          <w:sz w:val="20"/>
          <w:szCs w:val="20"/>
        </w:rPr>
        <w:t>Critique of Practical Reason</w:t>
      </w:r>
      <w:r>
        <w:rPr>
          <w:rFonts w:ascii="Palatino Linotype" w:eastAsia="Palatino Linotype" w:hAnsi="Palatino Linotype" w:cs="Palatino Linotype"/>
          <w:color w:val="000000"/>
          <w:sz w:val="20"/>
          <w:szCs w:val="20"/>
        </w:rPr>
        <w:t xml:space="preserve">, </w:t>
      </w:r>
      <w:r>
        <w:rPr>
          <w:rFonts w:ascii="Palatino Linotype" w:eastAsia="Palatino Linotype" w:hAnsi="Palatino Linotype" w:cs="Palatino Linotype"/>
          <w:i/>
          <w:color w:val="000000"/>
          <w:sz w:val="20"/>
          <w:szCs w:val="20"/>
        </w:rPr>
        <w:t xml:space="preserve">Metaphysics of Morals, </w:t>
      </w:r>
      <w:r>
        <w:rPr>
          <w:rFonts w:ascii="Palatino Linotype" w:eastAsia="Palatino Linotype" w:hAnsi="Palatino Linotype" w:cs="Palatino Linotype"/>
          <w:color w:val="000000"/>
          <w:sz w:val="20"/>
          <w:szCs w:val="20"/>
        </w:rPr>
        <w:t xml:space="preserve">and </w:t>
      </w:r>
      <w:r>
        <w:rPr>
          <w:rFonts w:ascii="Palatino Linotype" w:eastAsia="Palatino Linotype" w:hAnsi="Palatino Linotype" w:cs="Palatino Linotype"/>
          <w:i/>
          <w:color w:val="000000"/>
          <w:sz w:val="20"/>
          <w:szCs w:val="20"/>
        </w:rPr>
        <w:t>Religion with the Bounds of Reason Alone</w:t>
      </w:r>
      <w:r>
        <w:rPr>
          <w:rFonts w:ascii="Palatino Linotype" w:eastAsia="Palatino Linotype" w:hAnsi="Palatino Linotype" w:cs="Palatino Linotype"/>
          <w:color w:val="000000"/>
          <w:sz w:val="20"/>
          <w:szCs w:val="20"/>
        </w:rPr>
        <w:t>. There are also several essays which discuss important related ideas, including ‘On a Supposed Right to Lie from Philanthropic Concern’ [which we will l</w:t>
      </w:r>
      <w:r>
        <w:rPr>
          <w:rFonts w:ascii="Palatino Linotype" w:eastAsia="Palatino Linotype" w:hAnsi="Palatino Linotype" w:cs="Palatino Linotype"/>
          <w:color w:val="000000"/>
          <w:sz w:val="20"/>
          <w:szCs w:val="20"/>
        </w:rPr>
        <w:t xml:space="preserve">ook at], ‘The End of All Things’, ‘What is it to Orient Oneself in Thinking?’ and ‘Towards Perpetual Peace’. Amongst the themes discussed in some of these works but not touched upon in the </w:t>
      </w:r>
      <w:r>
        <w:rPr>
          <w:rFonts w:ascii="Palatino Linotype" w:eastAsia="Palatino Linotype" w:hAnsi="Palatino Linotype" w:cs="Palatino Linotype"/>
          <w:i/>
          <w:color w:val="000000"/>
          <w:sz w:val="20"/>
          <w:szCs w:val="20"/>
        </w:rPr>
        <w:t>Groundwork</w:t>
      </w:r>
      <w:r>
        <w:rPr>
          <w:rFonts w:ascii="Palatino Linotype" w:eastAsia="Palatino Linotype" w:hAnsi="Palatino Linotype" w:cs="Palatino Linotype"/>
          <w:color w:val="000000"/>
          <w:sz w:val="20"/>
          <w:szCs w:val="20"/>
        </w:rPr>
        <w:t xml:space="preserve">, perhaps the most important is the idea of the ‘postulates of practical reason’, which are commitments to the existence of God, immortality and free will which Kant thinks are required by morality. (The postulates are also discussed in the </w:t>
      </w:r>
      <w:r>
        <w:rPr>
          <w:rFonts w:ascii="Palatino Linotype" w:eastAsia="Palatino Linotype" w:hAnsi="Palatino Linotype" w:cs="Palatino Linotype"/>
          <w:i/>
          <w:color w:val="000000"/>
          <w:sz w:val="20"/>
          <w:szCs w:val="20"/>
        </w:rPr>
        <w:t>Critique of the Power of Judgement</w:t>
      </w:r>
      <w:r>
        <w:rPr>
          <w:rFonts w:ascii="Palatino Linotype" w:eastAsia="Palatino Linotype" w:hAnsi="Palatino Linotype" w:cs="Palatino Linotype"/>
          <w:color w:val="000000"/>
          <w:sz w:val="20"/>
          <w:szCs w:val="20"/>
        </w:rPr>
        <w:t>. Arguably, the free will postulate is</w:t>
      </w:r>
      <w:r>
        <w:rPr>
          <w:rFonts w:ascii="Palatino Linotype" w:eastAsia="Palatino Linotype" w:hAnsi="Palatino Linotype" w:cs="Palatino Linotype"/>
          <w:color w:val="000000"/>
          <w:sz w:val="20"/>
          <w:szCs w:val="20"/>
        </w:rPr>
        <w:t xml:space="preserve"> touched upon in the </w:t>
      </w:r>
      <w:r>
        <w:rPr>
          <w:rFonts w:ascii="Palatino Linotype" w:eastAsia="Palatino Linotype" w:hAnsi="Palatino Linotype" w:cs="Palatino Linotype"/>
          <w:i/>
          <w:color w:val="000000"/>
          <w:sz w:val="20"/>
          <w:szCs w:val="20"/>
        </w:rPr>
        <w:t>Groundwork</w:t>
      </w:r>
      <w:r>
        <w:rPr>
          <w:rFonts w:ascii="Palatino Linotype" w:eastAsia="Palatino Linotype" w:hAnsi="Palatino Linotype" w:cs="Palatino Linotype"/>
          <w:color w:val="000000"/>
          <w:sz w:val="20"/>
          <w:szCs w:val="20"/>
        </w:rPr>
        <w:t xml:space="preserve">, in Section 3; but the text of </w:t>
      </w:r>
      <w:r>
        <w:rPr>
          <w:rFonts w:ascii="Palatino Linotype" w:eastAsia="Palatino Linotype" w:hAnsi="Palatino Linotype" w:cs="Palatino Linotype"/>
          <w:i/>
          <w:color w:val="000000"/>
          <w:sz w:val="20"/>
          <w:szCs w:val="20"/>
        </w:rPr>
        <w:t xml:space="preserve">Groundwork </w:t>
      </w:r>
      <w:r>
        <w:rPr>
          <w:rFonts w:ascii="Palatino Linotype" w:eastAsia="Palatino Linotype" w:hAnsi="Palatino Linotype" w:cs="Palatino Linotype"/>
          <w:color w:val="000000"/>
          <w:sz w:val="20"/>
          <w:szCs w:val="20"/>
        </w:rPr>
        <w:t>Section 3</w:t>
      </w:r>
      <w:r>
        <w:rPr>
          <w:rFonts w:ascii="Palatino Linotype" w:eastAsia="Palatino Linotype" w:hAnsi="Palatino Linotype" w:cs="Palatino Linotype"/>
          <w:i/>
          <w:color w:val="000000"/>
          <w:sz w:val="20"/>
          <w:szCs w:val="20"/>
        </w:rPr>
        <w:t xml:space="preserve"> </w:t>
      </w:r>
      <w:r>
        <w:rPr>
          <w:rFonts w:ascii="Palatino Linotype" w:eastAsia="Palatino Linotype" w:hAnsi="Palatino Linotype" w:cs="Palatino Linotype"/>
          <w:color w:val="000000"/>
          <w:sz w:val="20"/>
          <w:szCs w:val="20"/>
        </w:rPr>
        <w:t xml:space="preserve">does not present the types of arguments for the postulates which are discussed elsewhere.) If you are interested in these other aspects of Kant’s moral philosophy, I can supply you with the lecture slides from a module on the </w:t>
      </w:r>
      <w:r>
        <w:rPr>
          <w:rFonts w:ascii="Palatino Linotype" w:eastAsia="Palatino Linotype" w:hAnsi="Palatino Linotype" w:cs="Palatino Linotype"/>
          <w:i/>
          <w:color w:val="000000"/>
          <w:sz w:val="20"/>
          <w:szCs w:val="20"/>
        </w:rPr>
        <w:t>rest</w:t>
      </w:r>
      <w:r>
        <w:rPr>
          <w:rFonts w:ascii="Palatino Linotype" w:eastAsia="Palatino Linotype" w:hAnsi="Palatino Linotype" w:cs="Palatino Linotype"/>
          <w:color w:val="000000"/>
          <w:sz w:val="20"/>
          <w:szCs w:val="20"/>
        </w:rPr>
        <w:t xml:space="preserve"> of Kant’s practical philosophy which I ran previously. But I must stress that this would just be for your own interest; it is certainly not required for this module. </w:t>
      </w:r>
    </w:p>
  </w:footnote>
  <w:footnote w:id="6">
    <w:p w14:paraId="000000D7" w14:textId="77777777" w:rsidR="00D77828" w:rsidRDefault="00DF5AA9">
      <w:pPr>
        <w:pBdr>
          <w:top w:val="nil"/>
          <w:left w:val="nil"/>
          <w:bottom w:val="nil"/>
          <w:right w:val="nil"/>
          <w:between w:val="nil"/>
        </w:pBdr>
        <w:rPr>
          <w:rFonts w:ascii="Palatino Linotype" w:eastAsia="Palatino Linotype" w:hAnsi="Palatino Linotype" w:cs="Palatino Linotype"/>
          <w:color w:val="000000"/>
          <w:sz w:val="20"/>
          <w:szCs w:val="20"/>
        </w:rPr>
      </w:pPr>
      <w:r>
        <w:rPr>
          <w:rStyle w:val="FootnoteReference"/>
        </w:rPr>
        <w:footnoteRef/>
      </w:r>
      <w:r>
        <w:rPr>
          <w:rFonts w:ascii="Palatino Linotype" w:eastAsia="Palatino Linotype" w:hAnsi="Palatino Linotype" w:cs="Palatino Linotype"/>
          <w:color w:val="000000"/>
          <w:sz w:val="20"/>
          <w:szCs w:val="20"/>
        </w:rPr>
        <w:t xml:space="preserve"> Some of the secondary and further reading I list is in this tradition. Allen Wood, for example, in his </w:t>
      </w:r>
      <w:r>
        <w:rPr>
          <w:rFonts w:ascii="Palatino Linotype" w:eastAsia="Palatino Linotype" w:hAnsi="Palatino Linotype" w:cs="Palatino Linotype"/>
          <w:i/>
          <w:color w:val="000000"/>
          <w:sz w:val="20"/>
          <w:szCs w:val="20"/>
        </w:rPr>
        <w:t>Kant’s Ethical Thought</w:t>
      </w:r>
      <w:r>
        <w:rPr>
          <w:rFonts w:ascii="Palatino Linotype" w:eastAsia="Palatino Linotype" w:hAnsi="Palatino Linotype" w:cs="Palatino Linotype"/>
          <w:color w:val="000000"/>
          <w:sz w:val="20"/>
          <w:szCs w:val="20"/>
        </w:rPr>
        <w:t xml:space="preserve"> sees the defensible core of Kant’s ideas as largely logically independent from his theoretical philosophy. He develops what he thinks is most right about Kant’s ideas – extending them beyond what Kant thought, and jettisoning some of Kant’s own arguments – in his </w:t>
      </w:r>
      <w:r>
        <w:rPr>
          <w:rFonts w:ascii="Palatino Linotype" w:eastAsia="Palatino Linotype" w:hAnsi="Palatino Linotype" w:cs="Palatino Linotype"/>
          <w:i/>
          <w:color w:val="000000"/>
          <w:sz w:val="20"/>
          <w:szCs w:val="20"/>
        </w:rPr>
        <w:t>Kantian Ethics</w:t>
      </w:r>
      <w:r>
        <w:rPr>
          <w:rFonts w:ascii="Palatino Linotype" w:eastAsia="Palatino Linotype" w:hAnsi="Palatino Linotype" w:cs="Palatino Linotype"/>
          <w:color w:val="000000"/>
          <w:sz w:val="20"/>
          <w:szCs w:val="20"/>
        </w:rPr>
        <w:t xml:space="preserve"> (Cambridge: CUP, 2008). </w:t>
      </w:r>
    </w:p>
  </w:footnote>
  <w:footnote w:id="7">
    <w:p w14:paraId="000000D8" w14:textId="77777777" w:rsidR="00D77828" w:rsidRDefault="00DF5AA9">
      <w:pPr>
        <w:pBdr>
          <w:top w:val="nil"/>
          <w:left w:val="nil"/>
          <w:bottom w:val="nil"/>
          <w:right w:val="nil"/>
          <w:between w:val="nil"/>
        </w:pBdr>
        <w:rPr>
          <w:rFonts w:ascii="Palatino Linotype" w:eastAsia="Palatino Linotype" w:hAnsi="Palatino Linotype" w:cs="Palatino Linotype"/>
          <w:color w:val="000000"/>
          <w:sz w:val="20"/>
          <w:szCs w:val="20"/>
        </w:rPr>
      </w:pPr>
      <w:r>
        <w:rPr>
          <w:rStyle w:val="FootnoteReference"/>
        </w:rPr>
        <w:footnoteRef/>
      </w:r>
      <w:r>
        <w:rPr>
          <w:rFonts w:ascii="Palatino Linotype" w:eastAsia="Palatino Linotype" w:hAnsi="Palatino Linotype" w:cs="Palatino Linotype"/>
          <w:color w:val="000000"/>
          <w:sz w:val="20"/>
          <w:szCs w:val="20"/>
        </w:rPr>
        <w:t xml:space="preserve"> Those of you taking the Kant module in Spring term will study the </w:t>
      </w:r>
      <w:r>
        <w:rPr>
          <w:rFonts w:ascii="Palatino Linotype" w:eastAsia="Palatino Linotype" w:hAnsi="Palatino Linotype" w:cs="Palatino Linotype"/>
          <w:i/>
          <w:color w:val="000000"/>
          <w:sz w:val="20"/>
          <w:szCs w:val="20"/>
        </w:rPr>
        <w:t>Critique of Pure Reason</w:t>
      </w:r>
      <w:r>
        <w:rPr>
          <w:rFonts w:ascii="Palatino Linotype" w:eastAsia="Palatino Linotype" w:hAnsi="Palatino Linotype" w:cs="Palatino Linotype"/>
          <w:color w:val="000000"/>
          <w:sz w:val="20"/>
          <w:szCs w:val="20"/>
        </w:rPr>
        <w:t xml:space="preserve"> in some depth, and when you have done so it would be fun to discuss with you any ideas you have about how the moral philosophy relates to the theoretical philosophy, and whether you want to take issue with any of the brief characterisations I give here of the theoretical philosophy. What I say about the theoretical philosophy here will be a bit dogmatic, because I won’t have time to defend the interpretations I assume</w:t>
      </w:r>
      <w:r>
        <w:rPr>
          <w:rFonts w:ascii="Palatino Linotype" w:eastAsia="Palatino Linotype" w:hAnsi="Palatino Linotype" w:cs="Palatino Linotype"/>
          <w:color w:val="000000"/>
          <w:sz w:val="20"/>
          <w:szCs w:val="20"/>
        </w:rPr>
        <w:t xml:space="preserve"> against criticisms or alternative interpretations; and if you study the </w:t>
      </w:r>
      <w:r>
        <w:rPr>
          <w:rFonts w:ascii="Palatino Linotype" w:eastAsia="Palatino Linotype" w:hAnsi="Palatino Linotype" w:cs="Palatino Linotype"/>
          <w:i/>
          <w:color w:val="000000"/>
          <w:sz w:val="20"/>
          <w:szCs w:val="20"/>
        </w:rPr>
        <w:t>Critique of Pure Reason</w:t>
      </w:r>
      <w:r>
        <w:rPr>
          <w:rFonts w:ascii="Palatino Linotype" w:eastAsia="Palatino Linotype" w:hAnsi="Palatino Linotype" w:cs="Palatino Linotype"/>
          <w:color w:val="000000"/>
          <w:sz w:val="20"/>
          <w:szCs w:val="20"/>
        </w:rPr>
        <w:t xml:space="preserve"> properly you will quickly realise that – like more or less everything in Kant scholarship! – what I tell you about it in this module is controversial. </w:t>
      </w:r>
    </w:p>
  </w:footnote>
  <w:footnote w:id="8">
    <w:p w14:paraId="000000D9" w14:textId="77777777" w:rsidR="00D77828" w:rsidRDefault="00DF5AA9">
      <w:pPr>
        <w:pBdr>
          <w:top w:val="nil"/>
          <w:left w:val="nil"/>
          <w:bottom w:val="nil"/>
          <w:right w:val="nil"/>
          <w:between w:val="nil"/>
        </w:pBdr>
        <w:rPr>
          <w:rFonts w:ascii="Palatino Linotype" w:eastAsia="Palatino Linotype" w:hAnsi="Palatino Linotype" w:cs="Palatino Linotype"/>
          <w:color w:val="000000"/>
          <w:sz w:val="20"/>
          <w:szCs w:val="20"/>
        </w:rPr>
      </w:pPr>
      <w:r>
        <w:rPr>
          <w:rStyle w:val="FootnoteReference"/>
        </w:rPr>
        <w:footnoteRef/>
      </w:r>
      <w:r>
        <w:rPr>
          <w:rFonts w:ascii="Palatino Linotype" w:eastAsia="Palatino Linotype" w:hAnsi="Palatino Linotype" w:cs="Palatino Linotype"/>
          <w:color w:val="000000"/>
          <w:sz w:val="20"/>
          <w:szCs w:val="20"/>
        </w:rPr>
        <w:t xml:space="preserve"> This book and the works by Langholm are written by historians, rather than philosophers, and they present arguments and views in a way </w:t>
      </w:r>
      <w:r>
        <w:rPr>
          <w:rFonts w:ascii="Palatino Linotype" w:eastAsia="Palatino Linotype" w:hAnsi="Palatino Linotype" w:cs="Palatino Linotype"/>
          <w:i/>
          <w:color w:val="000000"/>
          <w:sz w:val="20"/>
          <w:szCs w:val="20"/>
        </w:rPr>
        <w:t>you ought not to emulate</w:t>
      </w:r>
      <w:r>
        <w:rPr>
          <w:rFonts w:ascii="Palatino Linotype" w:eastAsia="Palatino Linotype" w:hAnsi="Palatino Linotype" w:cs="Palatino Linotype"/>
          <w:color w:val="000000"/>
          <w:sz w:val="20"/>
          <w:szCs w:val="20"/>
        </w:rPr>
        <w:t xml:space="preserve">, as a philosopher: they tend to sketch an argument in as little as one sentence, moving on quickly to different arguments or topics; but in </w:t>
      </w:r>
      <w:r>
        <w:rPr>
          <w:rFonts w:ascii="Palatino Linotype" w:eastAsia="Palatino Linotype" w:hAnsi="Palatino Linotype" w:cs="Palatino Linotype"/>
          <w:i/>
          <w:color w:val="000000"/>
          <w:sz w:val="20"/>
          <w:szCs w:val="20"/>
        </w:rPr>
        <w:t>your</w:t>
      </w:r>
      <w:r>
        <w:rPr>
          <w:rFonts w:ascii="Palatino Linotype" w:eastAsia="Palatino Linotype" w:hAnsi="Palatino Linotype" w:cs="Palatino Linotype"/>
          <w:color w:val="000000"/>
          <w:sz w:val="20"/>
          <w:szCs w:val="20"/>
        </w:rPr>
        <w:t xml:space="preserve"> discussions of these arguments, you need to go much deeper – both in terms of unpacking and explaining arguments, and in terms of subjecting them to critical scrutiny (as I will be doing). These texts have </w:t>
      </w:r>
      <w:r>
        <w:rPr>
          <w:rFonts w:ascii="Palatino Linotype" w:eastAsia="Palatino Linotype" w:hAnsi="Palatino Linotype" w:cs="Palatino Linotype"/>
          <w:color w:val="000000"/>
          <w:sz w:val="20"/>
          <w:szCs w:val="20"/>
        </w:rPr>
        <w:t xml:space="preserve">been recommended because they provide an accessible source for some arguments which come from difficult to access texts (which have in many or even most cases not been translated from Latin in a readily available edition), not because they are exemplary pieces of </w:t>
      </w:r>
      <w:r>
        <w:rPr>
          <w:rFonts w:ascii="Palatino Linotype" w:eastAsia="Palatino Linotype" w:hAnsi="Palatino Linotype" w:cs="Palatino Linotype"/>
          <w:i/>
          <w:color w:val="000000"/>
          <w:sz w:val="20"/>
          <w:szCs w:val="20"/>
        </w:rPr>
        <w:t>philosophical</w:t>
      </w:r>
      <w:r>
        <w:rPr>
          <w:rFonts w:ascii="Palatino Linotype" w:eastAsia="Palatino Linotype" w:hAnsi="Palatino Linotype" w:cs="Palatino Linotype"/>
          <w:color w:val="000000"/>
          <w:sz w:val="20"/>
          <w:szCs w:val="20"/>
        </w:rPr>
        <w:t xml:space="preserve"> writing (though they are perfectly good examples of work in the different discipline of history of ideas).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A" w14:textId="77777777" w:rsidR="00D77828" w:rsidRDefault="00DF5AA9">
    <w:pPr>
      <w:tabs>
        <w:tab w:val="right" w:pos="9026"/>
      </w:tabs>
      <w:rPr>
        <w:rFonts w:ascii="Palatino Linotype" w:eastAsia="Palatino Linotype" w:hAnsi="Palatino Linotype" w:cs="Palatino Linotype"/>
        <w:sz w:val="20"/>
        <w:szCs w:val="20"/>
      </w:rPr>
    </w:pPr>
    <w:r>
      <w:rPr>
        <w:rFonts w:ascii="Palatino Linotype" w:eastAsia="Palatino Linotype" w:hAnsi="Palatino Linotype" w:cs="Palatino Linotype"/>
        <w:sz w:val="20"/>
        <w:szCs w:val="20"/>
      </w:rPr>
      <w:t>History of Ethics (2018)</w:t>
    </w:r>
    <w:r>
      <w:rPr>
        <w:rFonts w:ascii="Palatino Linotype" w:eastAsia="Palatino Linotype" w:hAnsi="Palatino Linotype" w:cs="Palatino Linotype"/>
        <w:sz w:val="20"/>
        <w:szCs w:val="20"/>
      </w:rPr>
      <w:tab/>
      <w:t>christopher.jay@york.ac.uk</w:t>
    </w:r>
  </w:p>
  <w:p w14:paraId="000000DB" w14:textId="77777777" w:rsidR="00D77828" w:rsidRDefault="00DF5AA9">
    <w:pPr>
      <w:pBdr>
        <w:top w:val="nil"/>
        <w:left w:val="nil"/>
        <w:bottom w:val="nil"/>
        <w:right w:val="nil"/>
        <w:between w:val="nil"/>
      </w:pBdr>
      <w:tabs>
        <w:tab w:val="center" w:pos="4513"/>
        <w:tab w:val="right" w:pos="9026"/>
      </w:tabs>
      <w:rPr>
        <w:color w:val="000000"/>
        <w:sz w:val="18"/>
        <w:szCs w:val="18"/>
      </w:rPr>
    </w:pPr>
    <w:r>
      <w:rPr>
        <w:rFonts w:ascii="Palatino Linotype" w:eastAsia="Palatino Linotype" w:hAnsi="Palatino Linotype" w:cs="Palatino Linotype"/>
        <w:color w:val="333333"/>
        <w:sz w:val="18"/>
        <w:szCs w:val="18"/>
      </w:rPr>
      <w:t>PHI00076I</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828"/>
    <w:rsid w:val="00544F8C"/>
    <w:rsid w:val="00D77828"/>
    <w:rsid w:val="00DF5A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3AE1E4-21BE-4AC7-84E9-373049D54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6E6517"/>
    <w:rPr>
      <w:color w:val="0563C1" w:themeColor="hyperlink"/>
      <w:u w:val="single"/>
    </w:rPr>
  </w:style>
  <w:style w:type="character" w:styleId="UnresolvedMention">
    <w:name w:val="Unresolved Mention"/>
    <w:basedOn w:val="DefaultParagraphFont"/>
    <w:uiPriority w:val="99"/>
    <w:semiHidden/>
    <w:unhideWhenUsed/>
    <w:rsid w:val="006E6517"/>
    <w:rPr>
      <w:color w:val="808080"/>
      <w:shd w:val="clear" w:color="auto" w:fill="E6E6E6"/>
    </w:rPr>
  </w:style>
  <w:style w:type="paragraph" w:styleId="ListParagraph">
    <w:name w:val="List Paragraph"/>
    <w:basedOn w:val="Normal"/>
    <w:uiPriority w:val="34"/>
    <w:qFormat/>
    <w:rsid w:val="00D05CF7"/>
    <w:pPr>
      <w:ind w:left="720"/>
      <w:contextualSpacing/>
    </w:pPr>
  </w:style>
  <w:style w:type="paragraph" w:styleId="FootnoteText">
    <w:name w:val="footnote text"/>
    <w:basedOn w:val="Normal"/>
    <w:link w:val="FootnoteTextChar"/>
    <w:uiPriority w:val="99"/>
    <w:semiHidden/>
    <w:unhideWhenUsed/>
    <w:rsid w:val="00D05CF7"/>
    <w:pPr>
      <w:spacing w:after="160" w:line="259" w:lineRule="auto"/>
    </w:pPr>
    <w:rPr>
      <w:sz w:val="20"/>
      <w:szCs w:val="20"/>
    </w:rPr>
  </w:style>
  <w:style w:type="character" w:customStyle="1" w:styleId="FootnoteTextChar">
    <w:name w:val="Footnote Text Char"/>
    <w:basedOn w:val="DefaultParagraphFont"/>
    <w:link w:val="FootnoteText"/>
    <w:uiPriority w:val="99"/>
    <w:semiHidden/>
    <w:rsid w:val="00D05CF7"/>
    <w:rPr>
      <w:sz w:val="20"/>
      <w:szCs w:val="20"/>
    </w:rPr>
  </w:style>
  <w:style w:type="character" w:styleId="FootnoteReference">
    <w:name w:val="footnote reference"/>
    <w:basedOn w:val="DefaultParagraphFont"/>
    <w:uiPriority w:val="99"/>
    <w:semiHidden/>
    <w:unhideWhenUsed/>
    <w:rsid w:val="00D05CF7"/>
    <w:rPr>
      <w:vertAlign w:val="superscript"/>
    </w:rPr>
  </w:style>
  <w:style w:type="paragraph" w:styleId="NormalWeb">
    <w:name w:val="Normal (Web)"/>
    <w:basedOn w:val="Normal"/>
    <w:uiPriority w:val="99"/>
    <w:unhideWhenUsed/>
    <w:rsid w:val="00187627"/>
    <w:pPr>
      <w:spacing w:before="100" w:beforeAutospacing="1" w:after="100" w:afterAutospacing="1"/>
    </w:pPr>
    <w:rPr>
      <w:rFonts w:ascii="Times New Roman" w:eastAsia="Times New Roman" w:hAnsi="Times New Roman" w:cs="Times New Roman"/>
      <w:sz w:val="24"/>
      <w:szCs w:val="24"/>
    </w:rPr>
  </w:style>
  <w:style w:type="character" w:customStyle="1" w:styleId="page-break">
    <w:name w:val="page-break"/>
    <w:basedOn w:val="DefaultParagraphFont"/>
    <w:rsid w:val="00187627"/>
  </w:style>
  <w:style w:type="paragraph" w:styleId="Header">
    <w:name w:val="header"/>
    <w:basedOn w:val="Normal"/>
    <w:link w:val="HeaderChar"/>
    <w:uiPriority w:val="99"/>
    <w:unhideWhenUsed/>
    <w:rsid w:val="00F50A3F"/>
    <w:pPr>
      <w:tabs>
        <w:tab w:val="center" w:pos="4513"/>
        <w:tab w:val="right" w:pos="9026"/>
      </w:tabs>
    </w:pPr>
  </w:style>
  <w:style w:type="character" w:customStyle="1" w:styleId="HeaderChar">
    <w:name w:val="Header Char"/>
    <w:basedOn w:val="DefaultParagraphFont"/>
    <w:link w:val="Header"/>
    <w:uiPriority w:val="99"/>
    <w:rsid w:val="00F50A3F"/>
  </w:style>
  <w:style w:type="paragraph" w:styleId="Footer">
    <w:name w:val="footer"/>
    <w:basedOn w:val="Normal"/>
    <w:link w:val="FooterChar"/>
    <w:uiPriority w:val="99"/>
    <w:unhideWhenUsed/>
    <w:rsid w:val="00F50A3F"/>
    <w:pPr>
      <w:tabs>
        <w:tab w:val="center" w:pos="4513"/>
        <w:tab w:val="right" w:pos="9026"/>
      </w:tabs>
    </w:pPr>
  </w:style>
  <w:style w:type="character" w:customStyle="1" w:styleId="FooterChar">
    <w:name w:val="Footer Char"/>
    <w:basedOn w:val="DefaultParagraphFont"/>
    <w:link w:val="Footer"/>
    <w:uiPriority w:val="99"/>
    <w:rsid w:val="00F50A3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al-paris1.archives-ouvertes.fr/hal-01619017/documen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hristopher.jay@york.ac.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plato.stanford.edu/archives/spr2018/entries/kant-moral/"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nUy4Hty/r+9c4sOx7iM5CWGkHQ==">CgMxLjAyDmgucm8wdXB5NDNoeHo4Mg5oLmxuejdxMjJqMjFmMzIOaC43NzdwMDJsOTFpNG4yDmgueGM3Z210eWt5MXZrOAByITFySmtrVTkwTFFKUTRCTXRPTlZTRExwZ3kzd083RzhkZA==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4648</Words>
  <Characters>26496</Characters>
  <Application>Microsoft Office Word</Application>
  <DocSecurity>0</DocSecurity>
  <Lines>220</Lines>
  <Paragraphs>62</Paragraphs>
  <ScaleCrop>false</ScaleCrop>
  <Company/>
  <LinksUpToDate>false</LinksUpToDate>
  <CharactersWithSpaces>31082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Christopher Jay</cp:lastModifiedBy>
  <cp:revision>2</cp:revision>
  <dcterms:created xsi:type="dcterms:W3CDTF">2025-07-25T17:53:00Z</dcterms:created>
  <dcterms:modified xsi:type="dcterms:W3CDTF">2025-07-25T17:53:00Z</dcterms:modified>
</cp:coreProperties>
</file>