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FB19A" w14:textId="77777777" w:rsidR="00C16F34" w:rsidRDefault="00344A42">
      <w:pPr>
        <w:pStyle w:val="Title"/>
        <w:jc w:val="center"/>
        <w:rPr>
          <w:rFonts w:ascii="Palatino Linotype" w:hAnsi="Palatino Linotype"/>
          <w:sz w:val="40"/>
          <w:szCs w:val="40"/>
        </w:rPr>
      </w:pPr>
      <w:r>
        <w:rPr>
          <w:rFonts w:ascii="Palatino Linotype" w:hAnsi="Palatino Linotype"/>
          <w:sz w:val="40"/>
          <w:szCs w:val="40"/>
        </w:rPr>
        <w:t xml:space="preserve">Politics and Freedom: </w:t>
      </w:r>
    </w:p>
    <w:p w14:paraId="4D2D1BD7" w14:textId="77777777" w:rsidR="00C16F34" w:rsidRDefault="00344A42">
      <w:pPr>
        <w:pStyle w:val="Title"/>
        <w:jc w:val="center"/>
        <w:rPr>
          <w:rFonts w:ascii="Palatino Linotype" w:hAnsi="Palatino Linotype"/>
          <w:sz w:val="40"/>
          <w:szCs w:val="40"/>
        </w:rPr>
      </w:pPr>
      <w:r>
        <w:rPr>
          <w:rFonts w:ascii="Palatino Linotype" w:hAnsi="Palatino Linotype"/>
          <w:sz w:val="40"/>
          <w:szCs w:val="40"/>
        </w:rPr>
        <w:t>Anarchism and Conservatism</w:t>
      </w:r>
    </w:p>
    <w:p w14:paraId="5691D81A" w14:textId="77777777" w:rsidR="00C16F34" w:rsidRDefault="00344A42">
      <w:pPr>
        <w:pStyle w:val="Subtitle"/>
        <w:spacing w:after="0"/>
        <w:jc w:val="center"/>
        <w:rPr>
          <w:rFonts w:ascii="Palatino Linotype" w:hAnsi="Palatino Linotype"/>
        </w:rPr>
      </w:pPr>
      <w:r>
        <w:rPr>
          <w:rFonts w:ascii="Palatino Linotype" w:hAnsi="Palatino Linotype"/>
        </w:rPr>
        <w:t>PHI00118I</w:t>
      </w:r>
    </w:p>
    <w:p w14:paraId="341C44D9" w14:textId="7A1B21CA" w:rsidR="00C16F34" w:rsidRDefault="00344A42">
      <w:pPr>
        <w:pStyle w:val="Subtitle"/>
        <w:spacing w:after="0"/>
        <w:jc w:val="center"/>
        <w:rPr>
          <w:rFonts w:ascii="Palatino Linotype" w:hAnsi="Palatino Linotype"/>
        </w:rPr>
      </w:pPr>
      <w:r>
        <w:rPr>
          <w:rFonts w:ascii="Palatino Linotype" w:hAnsi="Palatino Linotype"/>
        </w:rPr>
        <w:t>Semester 1 2024</w:t>
      </w:r>
    </w:p>
    <w:p w14:paraId="3B8A05C9" w14:textId="77777777" w:rsidR="00C16F34" w:rsidRDefault="00C16F34">
      <w:pPr>
        <w:rPr>
          <w:rFonts w:ascii="Palatino Linotype" w:hAnsi="Palatino Linotype"/>
          <w:b/>
          <w:bCs/>
        </w:rPr>
      </w:pPr>
    </w:p>
    <w:p w14:paraId="390CB867" w14:textId="77777777" w:rsidR="00C16F34" w:rsidRDefault="00344A42">
      <w:pPr>
        <w:rPr>
          <w:rFonts w:ascii="Palatino Linotype" w:hAnsi="Palatino Linotype"/>
          <w:b/>
          <w:bCs/>
        </w:rPr>
      </w:pPr>
      <w:r>
        <w:rPr>
          <w:rFonts w:ascii="Palatino Linotype" w:hAnsi="Palatino Linotype"/>
          <w:b/>
          <w:bCs/>
        </w:rPr>
        <w:t>Lecturer: Chris Jay</w:t>
      </w:r>
    </w:p>
    <w:p w14:paraId="380B0CBA" w14:textId="77777777" w:rsidR="00C16F34" w:rsidRDefault="00344A42">
      <w:pPr>
        <w:rPr>
          <w:rFonts w:ascii="Palatino Linotype" w:hAnsi="Palatino Linotype"/>
          <w:b/>
          <w:bCs/>
        </w:rPr>
      </w:pPr>
      <w:r>
        <w:rPr>
          <w:rFonts w:ascii="Palatino Linotype" w:hAnsi="Palatino Linotype"/>
          <w:b/>
          <w:bCs/>
        </w:rPr>
        <w:t xml:space="preserve">Email address: </w:t>
      </w:r>
      <w:hyperlink r:id="rId7" w:history="1">
        <w:r w:rsidR="00C16F34">
          <w:rPr>
            <w:rStyle w:val="Hyperlink"/>
            <w:rFonts w:ascii="Palatino Linotype" w:hAnsi="Palatino Linotype"/>
            <w:b/>
            <w:bCs/>
          </w:rPr>
          <w:t>christopher.jay@york.ac.uk</w:t>
        </w:r>
      </w:hyperlink>
      <w:r>
        <w:rPr>
          <w:rFonts w:ascii="Palatino Linotype" w:hAnsi="Palatino Linotype"/>
          <w:b/>
          <w:bCs/>
        </w:rPr>
        <w:t xml:space="preserve"> </w:t>
      </w:r>
    </w:p>
    <w:p w14:paraId="1AF41616" w14:textId="77777777" w:rsidR="00C16F34" w:rsidRDefault="00344A42">
      <w:pPr>
        <w:rPr>
          <w:rFonts w:ascii="Palatino Linotype" w:hAnsi="Palatino Linotype"/>
        </w:rPr>
      </w:pPr>
      <w:r>
        <w:rPr>
          <w:rFonts w:ascii="Palatino Linotype" w:hAnsi="Palatino Linotype"/>
          <w:b/>
          <w:bCs/>
        </w:rPr>
        <w:t>Office:</w:t>
      </w:r>
      <w:r>
        <w:rPr>
          <w:rFonts w:ascii="Palatino Linotype" w:hAnsi="Palatino Linotype"/>
        </w:rPr>
        <w:t xml:space="preserve"> </w:t>
      </w:r>
      <w:r>
        <w:rPr>
          <w:rFonts w:ascii="Palatino Linotype" w:hAnsi="Palatino Linotype"/>
          <w:b/>
          <w:bCs/>
        </w:rPr>
        <w:t>Sally Baldwin</w:t>
      </w:r>
      <w:r>
        <w:rPr>
          <w:rFonts w:ascii="Palatino Linotype" w:hAnsi="Palatino Linotype"/>
        </w:rPr>
        <w:t xml:space="preserve"> (Philosophy Department) </w:t>
      </w:r>
      <w:r>
        <w:rPr>
          <w:rFonts w:ascii="Palatino Linotype" w:hAnsi="Palatino Linotype"/>
          <w:b/>
          <w:bCs/>
        </w:rPr>
        <w:t>A/111</w:t>
      </w:r>
      <w:r>
        <w:rPr>
          <w:rFonts w:ascii="Palatino Linotype" w:hAnsi="Palatino Linotype"/>
        </w:rPr>
        <w:t xml:space="preserve"> </w:t>
      </w:r>
      <w:r>
        <w:rPr>
          <w:rFonts w:ascii="Palatino Linotype" w:hAnsi="Palatino Linotype"/>
          <w:sz w:val="16"/>
          <w:szCs w:val="16"/>
        </w:rPr>
        <w:t>(upstairs, between the photocopier and the toilet)</w:t>
      </w:r>
    </w:p>
    <w:p w14:paraId="21000DA8" w14:textId="77777777" w:rsidR="00C16F34" w:rsidRDefault="00344A42">
      <w:pPr>
        <w:rPr>
          <w:rFonts w:ascii="Palatino Linotype" w:hAnsi="Palatino Linotype"/>
        </w:rPr>
      </w:pPr>
      <w:r>
        <w:rPr>
          <w:rFonts w:ascii="Palatino Linotype" w:hAnsi="Palatino Linotype"/>
          <w:b/>
          <w:bCs/>
        </w:rPr>
        <w:t>Office Hours: Wednesdays, 10.30am – 11.30am</w:t>
      </w:r>
      <w:r>
        <w:rPr>
          <w:rFonts w:ascii="Palatino Linotype" w:hAnsi="Palatino Linotype"/>
        </w:rPr>
        <w:t xml:space="preserve"> (or by appointment: please email)</w:t>
      </w:r>
    </w:p>
    <w:p w14:paraId="1A189A55" w14:textId="77777777" w:rsidR="00C16F34" w:rsidRDefault="00C16F34">
      <w:pPr>
        <w:rPr>
          <w:rFonts w:ascii="Palatino Linotype" w:hAnsi="Palatino Linotype"/>
          <w:b/>
          <w:bCs/>
        </w:rPr>
      </w:pPr>
    </w:p>
    <w:p w14:paraId="3CE5807A" w14:textId="77777777" w:rsidR="00C16F34" w:rsidRDefault="00344A42">
      <w:pPr>
        <w:rPr>
          <w:rFonts w:ascii="Palatino Linotype" w:hAnsi="Palatino Linotype"/>
        </w:rPr>
      </w:pPr>
      <w:r>
        <w:rPr>
          <w:rFonts w:ascii="Palatino Linotype" w:hAnsi="Palatino Linotype"/>
          <w:b/>
          <w:bCs/>
        </w:rPr>
        <w:t>Lectures</w:t>
      </w:r>
      <w:r>
        <w:rPr>
          <w:rFonts w:ascii="Palatino Linotype" w:hAnsi="Palatino Linotype"/>
        </w:rPr>
        <w:t xml:space="preserve">: </w:t>
      </w:r>
      <w:r>
        <w:rPr>
          <w:rFonts w:ascii="Palatino Linotype" w:hAnsi="Palatino Linotype"/>
          <w:b/>
          <w:bCs/>
        </w:rPr>
        <w:t>Tuesdays</w:t>
      </w:r>
      <w:r>
        <w:rPr>
          <w:rFonts w:ascii="Palatino Linotype" w:hAnsi="Palatino Linotype"/>
        </w:rPr>
        <w:t xml:space="preserve">, </w:t>
      </w:r>
      <w:r>
        <w:rPr>
          <w:rFonts w:ascii="Palatino Linotype" w:hAnsi="Palatino Linotype"/>
          <w:b/>
          <w:bCs/>
        </w:rPr>
        <w:t xml:space="preserve">4 – 6pm in CL/A/057 </w:t>
      </w:r>
      <w:r>
        <w:rPr>
          <w:rFonts w:ascii="Palatino Linotype" w:hAnsi="Palatino Linotype"/>
        </w:rPr>
        <w:t>(Church Lane)</w:t>
      </w:r>
    </w:p>
    <w:p w14:paraId="4B7E9ABE" w14:textId="77777777" w:rsidR="00C16F34" w:rsidRDefault="00344A42">
      <w:pPr>
        <w:rPr>
          <w:rFonts w:ascii="Palatino Linotype" w:hAnsi="Palatino Linotype"/>
          <w:b/>
          <w:bCs/>
        </w:rPr>
      </w:pPr>
      <w:r>
        <w:rPr>
          <w:rFonts w:ascii="Palatino Linotype" w:hAnsi="Palatino Linotype"/>
          <w:b/>
          <w:bCs/>
        </w:rPr>
        <w:t>Seminars</w:t>
      </w:r>
      <w:r>
        <w:rPr>
          <w:rFonts w:ascii="Palatino Linotype" w:hAnsi="Palatino Linotype"/>
        </w:rPr>
        <w:t>: Wednesdays or Thursdays (</w:t>
      </w:r>
      <w:r>
        <w:rPr>
          <w:rFonts w:ascii="Palatino Linotype" w:hAnsi="Palatino Linotype"/>
          <w:b/>
          <w:bCs/>
        </w:rPr>
        <w:t>check timetable for details</w:t>
      </w:r>
      <w:r>
        <w:rPr>
          <w:rFonts w:ascii="Palatino Linotype" w:hAnsi="Palatino Linotype"/>
        </w:rPr>
        <w:t>)</w:t>
      </w:r>
    </w:p>
    <w:p w14:paraId="53033D5E" w14:textId="77777777" w:rsidR="00C16F34" w:rsidRDefault="00C16F34">
      <w:pPr>
        <w:rPr>
          <w:rFonts w:ascii="Palatino Linotype" w:hAnsi="Palatino Linotype"/>
        </w:rPr>
      </w:pPr>
    </w:p>
    <w:p w14:paraId="3E5630E4" w14:textId="77777777" w:rsidR="00C16F34" w:rsidRDefault="00344A42">
      <w:pPr>
        <w:pStyle w:val="Heading1"/>
        <w:rPr>
          <w:rFonts w:ascii="Palatino Linotype" w:hAnsi="Palatino Linotype"/>
        </w:rPr>
      </w:pPr>
      <w:r>
        <w:rPr>
          <w:rFonts w:ascii="Palatino Linotype" w:hAnsi="Palatino Linotype"/>
        </w:rPr>
        <w:t>Introduction</w:t>
      </w:r>
    </w:p>
    <w:p w14:paraId="0B9E6A55" w14:textId="77777777" w:rsidR="00C16F34" w:rsidRDefault="00344A42">
      <w:pPr>
        <w:rPr>
          <w:rFonts w:ascii="Palatino Linotype" w:hAnsi="Palatino Linotype"/>
        </w:rPr>
      </w:pPr>
      <w:r>
        <w:rPr>
          <w:rFonts w:ascii="Palatino Linotype" w:hAnsi="Palatino Linotype"/>
        </w:rPr>
        <w:t>There is no one thing which is anarchism as a political philosophy, and no one thing which is conservatism as a political philosophy. This module is partly about exploring the variety of views which go under these two headings. An interesting thing, I think, is the extent to which those in the ‘same camp’, described by the same broad term ‘anarchist’ or ‘conservative’, turn out to believe in and rely upon, for their arguments, very different and sometimes diametrically opposed ideas. So, one broader functio</w:t>
      </w:r>
      <w:r>
        <w:rPr>
          <w:rFonts w:ascii="Palatino Linotype" w:hAnsi="Palatino Linotype"/>
        </w:rPr>
        <w:t xml:space="preserve">n of this module is to illustrate, through these examples, the danger of relying on broad labels which mask or blur the actual ideas which are being endorsed or discussed. There is a tendency in politics to define ourselves </w:t>
      </w:r>
      <w:r>
        <w:rPr>
          <w:rFonts w:ascii="Palatino Linotype" w:hAnsi="Palatino Linotype"/>
          <w:i/>
          <w:iCs/>
        </w:rPr>
        <w:t>and others</w:t>
      </w:r>
      <w:r>
        <w:rPr>
          <w:rFonts w:ascii="Palatino Linotype" w:hAnsi="Palatino Linotype"/>
        </w:rPr>
        <w:t xml:space="preserve"> in terms of labels which we don’t define carefully enough, and to endorse </w:t>
      </w:r>
      <w:r>
        <w:rPr>
          <w:rFonts w:ascii="Palatino Linotype" w:hAnsi="Palatino Linotype"/>
          <w:i/>
          <w:iCs/>
        </w:rPr>
        <w:t>and dismiss</w:t>
      </w:r>
      <w:r>
        <w:rPr>
          <w:rFonts w:ascii="Palatino Linotype" w:hAnsi="Palatino Linotype"/>
        </w:rPr>
        <w:t xml:space="preserve"> ideas which we don’t really understand in much detail, and in our work on this module we will practice </w:t>
      </w:r>
      <w:r>
        <w:rPr>
          <w:rFonts w:ascii="Palatino Linotype" w:hAnsi="Palatino Linotype"/>
          <w:i/>
          <w:iCs/>
        </w:rPr>
        <w:t>not</w:t>
      </w:r>
      <w:r>
        <w:rPr>
          <w:rFonts w:ascii="Palatino Linotype" w:hAnsi="Palatino Linotype"/>
        </w:rPr>
        <w:t xml:space="preserve"> doing that. </w:t>
      </w:r>
    </w:p>
    <w:p w14:paraId="5761E7A4" w14:textId="77777777" w:rsidR="00C16F34" w:rsidRDefault="00344A42">
      <w:pPr>
        <w:ind w:firstLine="720"/>
        <w:rPr>
          <w:rFonts w:ascii="Palatino Linotype" w:hAnsi="Palatino Linotype"/>
        </w:rPr>
      </w:pPr>
      <w:r>
        <w:rPr>
          <w:rFonts w:ascii="Palatino Linotype" w:hAnsi="Palatino Linotype"/>
        </w:rPr>
        <w:t xml:space="preserve">In some ways, some anarchists agree more with some conservatives than they do with some of their fellow anarchists, and some conservatives agree more with some anarchists than they do with some of their fellow conservatives, at least with respect to </w:t>
      </w:r>
      <w:proofErr w:type="gramStart"/>
      <w:r>
        <w:rPr>
          <w:rFonts w:ascii="Palatino Linotype" w:hAnsi="Palatino Linotype"/>
        </w:rPr>
        <w:t>particular philosophical</w:t>
      </w:r>
      <w:proofErr w:type="gramEnd"/>
      <w:r>
        <w:rPr>
          <w:rFonts w:ascii="Palatino Linotype" w:hAnsi="Palatino Linotype"/>
        </w:rPr>
        <w:t xml:space="preserve"> (including moral and political) issues. That is part of the point I just made, about the ways in which anarchists and conservatives disagree amongst themselves. But it is also part – though not all – of another point which I want to get across and focus on throughout the module.</w:t>
      </w:r>
    </w:p>
    <w:p w14:paraId="62005139" w14:textId="77777777" w:rsidR="00C16F34" w:rsidRDefault="00344A42">
      <w:pPr>
        <w:ind w:firstLine="720"/>
        <w:rPr>
          <w:rFonts w:ascii="Palatino Linotype" w:hAnsi="Palatino Linotype"/>
        </w:rPr>
      </w:pPr>
      <w:r>
        <w:rPr>
          <w:rFonts w:ascii="Palatino Linotype" w:hAnsi="Palatino Linotype"/>
        </w:rPr>
        <w:t xml:space="preserve">It is easy to think that anarchism and conservatism are at two opposite extremes of the political spectrum: anarchists are all about ripping up the status quo and starting again, new ideas and pushing against or removing structures of power and </w:t>
      </w:r>
      <w:proofErr w:type="gramStart"/>
      <w:r>
        <w:rPr>
          <w:rFonts w:ascii="Palatino Linotype" w:hAnsi="Palatino Linotype"/>
        </w:rPr>
        <w:t>authority;</w:t>
      </w:r>
      <w:proofErr w:type="gramEnd"/>
      <w:r>
        <w:rPr>
          <w:rFonts w:ascii="Palatino Linotype" w:hAnsi="Palatino Linotype"/>
        </w:rPr>
        <w:t xml:space="preserve"> whereas conservatives are all about maintaining the status quo, traditional ideas and respecting and reinforcing structures of power and authority. (In between these extremes, we might place state liberalism and state socialism – although these too are broad families which it is probably unhelpful to treat as homogeneous.) But these caricatures not only, as I have already said, misrepresent the diversity of opinion in each camp; thinking in these terms, of a fundamental and extreme opposition bet</w:t>
      </w:r>
      <w:r>
        <w:rPr>
          <w:rFonts w:ascii="Palatino Linotype" w:hAnsi="Palatino Linotype"/>
        </w:rPr>
        <w:t xml:space="preserve">ween anarchists and conservatives, also hides the fact that some of the motivating ideas behind anarchism and conservatism are very similar indeed. </w:t>
      </w:r>
      <w:proofErr w:type="gramStart"/>
      <w:r>
        <w:rPr>
          <w:rFonts w:ascii="Palatino Linotype" w:hAnsi="Palatino Linotype"/>
        </w:rPr>
        <w:t>In particular, scepticism</w:t>
      </w:r>
      <w:proofErr w:type="gramEnd"/>
      <w:r>
        <w:rPr>
          <w:rFonts w:ascii="Palatino Linotype" w:hAnsi="Palatino Linotype"/>
        </w:rPr>
        <w:t xml:space="preserve"> about the competency of the state and a mistrust of imposed top-down plans animates – in strikingly similar ways – both the conservatism of </w:t>
      </w:r>
      <w:r>
        <w:rPr>
          <w:rFonts w:ascii="Palatino Linotype" w:hAnsi="Palatino Linotype"/>
        </w:rPr>
        <w:lastRenderedPageBreak/>
        <w:t xml:space="preserve">Burke, </w:t>
      </w:r>
      <w:proofErr w:type="spellStart"/>
      <w:r>
        <w:rPr>
          <w:rFonts w:ascii="Palatino Linotype" w:hAnsi="Palatino Linotype"/>
        </w:rPr>
        <w:t>Oakshott</w:t>
      </w:r>
      <w:proofErr w:type="spellEnd"/>
      <w:r>
        <w:rPr>
          <w:rFonts w:ascii="Palatino Linotype" w:hAnsi="Palatino Linotype"/>
        </w:rPr>
        <w:t xml:space="preserve"> and Hayek and the anarchism of Proudhon, Bakunin and de Cleyre. And both conservatives and anarchists are animated by a deep concern for </w:t>
      </w:r>
      <w:r>
        <w:rPr>
          <w:rFonts w:ascii="Palatino Linotype" w:hAnsi="Palatino Linotype"/>
          <w:i/>
          <w:iCs/>
        </w:rPr>
        <w:t>liberty</w:t>
      </w:r>
      <w:r>
        <w:rPr>
          <w:rFonts w:ascii="Palatino Linotype" w:hAnsi="Palatino Linotype"/>
        </w:rPr>
        <w:t xml:space="preserve"> or </w:t>
      </w:r>
      <w:r>
        <w:rPr>
          <w:rFonts w:ascii="Palatino Linotype" w:hAnsi="Palatino Linotype"/>
          <w:i/>
          <w:iCs/>
        </w:rPr>
        <w:t>freedom</w:t>
      </w:r>
      <w:r>
        <w:rPr>
          <w:rFonts w:ascii="Palatino Linotype" w:hAnsi="Palatino Linotype"/>
        </w:rPr>
        <w:t xml:space="preserve"> as a fundamental right. Th</w:t>
      </w:r>
      <w:r>
        <w:rPr>
          <w:rFonts w:ascii="Palatino Linotype" w:hAnsi="Palatino Linotype"/>
        </w:rPr>
        <w:t>at is why I have called this module ‘Politics and Freedom’. So, drawing the political spectrum a different way, anarchists and conservatives are not at opposite ends of it, but rather unite in their opposition to state socialism, Marxism, and various forms of liberal paternalism.</w:t>
      </w:r>
    </w:p>
    <w:p w14:paraId="4138DEF5" w14:textId="77777777" w:rsidR="00C16F34" w:rsidRDefault="00344A42">
      <w:pPr>
        <w:ind w:firstLine="720"/>
        <w:rPr>
          <w:rFonts w:ascii="Palatino Linotype" w:hAnsi="Palatino Linotype"/>
        </w:rPr>
      </w:pPr>
      <w:r>
        <w:rPr>
          <w:rFonts w:ascii="Palatino Linotype" w:hAnsi="Palatino Linotype"/>
        </w:rPr>
        <w:t>This fact is probably clearer in the context of US politics and political theory, where ‘libertarian’ and ‘republican’</w:t>
      </w:r>
      <w:r>
        <w:rPr>
          <w:rStyle w:val="FootnoteReference"/>
          <w:rFonts w:ascii="Palatino Linotype" w:hAnsi="Palatino Linotype"/>
        </w:rPr>
        <w:footnoteReference w:id="1"/>
      </w:r>
      <w:r>
        <w:rPr>
          <w:rFonts w:ascii="Palatino Linotype" w:hAnsi="Palatino Linotype"/>
        </w:rPr>
        <w:t xml:space="preserve"> traditions have more or less explicitly combined aspects of anarchism and conservatism since the debate about the US Constitution in the late eighteenth century.</w:t>
      </w:r>
      <w:r>
        <w:rPr>
          <w:rStyle w:val="FootnoteReference"/>
          <w:rFonts w:ascii="Palatino Linotype" w:hAnsi="Palatino Linotype"/>
        </w:rPr>
        <w:footnoteReference w:id="2"/>
      </w:r>
      <w:r>
        <w:rPr>
          <w:rFonts w:ascii="Palatino Linotype" w:hAnsi="Palatino Linotype"/>
        </w:rPr>
        <w:t xml:space="preserve"> But even in the writings of European and British anarchists and conservatives from Montaigne (in the sixteenth century) to the present day, concerns about the limits of state power and the extent of individuals’ liberties are equally prominent in writers defending conservative reactionary positions and those defending anarchist revolutionary ones.</w:t>
      </w:r>
    </w:p>
    <w:p w14:paraId="3DCE4262" w14:textId="77777777" w:rsidR="00C16F34" w:rsidRDefault="00344A42">
      <w:pPr>
        <w:ind w:firstLine="720"/>
        <w:rPr>
          <w:rFonts w:ascii="Palatino Linotype" w:hAnsi="Palatino Linotype"/>
        </w:rPr>
      </w:pPr>
      <w:r>
        <w:rPr>
          <w:rFonts w:ascii="Palatino Linotype" w:hAnsi="Palatino Linotype"/>
        </w:rPr>
        <w:t>I think this is significant for several reasons. First, in a political climate in which polarization is increasing, and partisans of political views are often unwilling to give each other the benefit of the doubt and credit them with respectable reasons for their beliefs, it is surely good to be reminded that even seemingly extremely opposed views can share some fundamental moral and political commitments. When we understand how the same basic principles can be developed in very different directions, someti</w:t>
      </w:r>
      <w:r>
        <w:rPr>
          <w:rFonts w:ascii="Palatino Linotype" w:hAnsi="Palatino Linotype"/>
        </w:rPr>
        <w:t xml:space="preserve">mes just because different empirical assumptions are made about non-moral facts, we might come to realise how easy it is for honest, well-intentioned disagreements to arise: disagreement not due to one or </w:t>
      </w:r>
      <w:r>
        <w:rPr>
          <w:rFonts w:ascii="Palatino Linotype" w:hAnsi="Palatino Linotype"/>
        </w:rPr>
        <w:lastRenderedPageBreak/>
        <w:t>other side being evil, or morally negligent, or stupid.</w:t>
      </w:r>
      <w:r>
        <w:rPr>
          <w:rStyle w:val="FootnoteReference"/>
          <w:rFonts w:ascii="Palatino Linotype" w:hAnsi="Palatino Linotype"/>
        </w:rPr>
        <w:footnoteReference w:id="3"/>
      </w:r>
      <w:r>
        <w:rPr>
          <w:rFonts w:ascii="Palatino Linotype" w:hAnsi="Palatino Linotype"/>
        </w:rPr>
        <w:t xml:space="preserve"> We might not, ourselves, be either anarchists or conservatives. But seeing how the same or very similar moral and political principles can be developed in very different directions in this case should perhaps remind us that this can – and does – happen in other cases too, and therefore that very often (and more often that we sometimes think), constructive conversations between people who radically disagree can and should take place, because they can, in fact, find common ground to start from. (If conservat</w:t>
      </w:r>
      <w:r>
        <w:rPr>
          <w:rFonts w:ascii="Palatino Linotype" w:hAnsi="Palatino Linotype"/>
        </w:rPr>
        <w:t xml:space="preserve">ives turn out to agree about some </w:t>
      </w:r>
      <w:proofErr w:type="gramStart"/>
      <w:r>
        <w:rPr>
          <w:rFonts w:ascii="Palatino Linotype" w:hAnsi="Palatino Linotype"/>
        </w:rPr>
        <w:t>pretty fundamental</w:t>
      </w:r>
      <w:proofErr w:type="gramEnd"/>
      <w:r>
        <w:rPr>
          <w:rFonts w:ascii="Palatino Linotype" w:hAnsi="Palatino Linotype"/>
        </w:rPr>
        <w:t xml:space="preserve"> things with anarchists who (apparently) want to tear down everything those conservatives hold dear, imagine how much closer than we might expect we </w:t>
      </w:r>
      <w:r>
        <w:rPr>
          <w:rFonts w:ascii="Palatino Linotype" w:hAnsi="Palatino Linotype"/>
          <w:i/>
          <w:iCs/>
        </w:rPr>
        <w:t>all</w:t>
      </w:r>
      <w:r>
        <w:rPr>
          <w:rFonts w:ascii="Palatino Linotype" w:hAnsi="Palatino Linotype"/>
        </w:rPr>
        <w:t xml:space="preserve"> might be to those whom we disagree with!)</w:t>
      </w:r>
      <w:r>
        <w:rPr>
          <w:rStyle w:val="FootnoteReference"/>
          <w:rFonts w:ascii="Palatino Linotype" w:hAnsi="Palatino Linotype"/>
        </w:rPr>
        <w:footnoteReference w:id="4"/>
      </w:r>
    </w:p>
    <w:p w14:paraId="2CD57A3A" w14:textId="77777777" w:rsidR="00C16F34" w:rsidRDefault="00344A42">
      <w:pPr>
        <w:ind w:firstLine="720"/>
        <w:rPr>
          <w:rFonts w:ascii="Palatino Linotype" w:hAnsi="Palatino Linotype"/>
        </w:rPr>
      </w:pPr>
      <w:r>
        <w:rPr>
          <w:rFonts w:ascii="Palatino Linotype" w:hAnsi="Palatino Linotype"/>
        </w:rPr>
        <w:t xml:space="preserve">Second, the common ground between (some) anarchists and (some) conservatives is philosophically interesting because it </w:t>
      </w:r>
      <w:proofErr w:type="gramStart"/>
      <w:r>
        <w:rPr>
          <w:rFonts w:ascii="Palatino Linotype" w:hAnsi="Palatino Linotype"/>
        </w:rPr>
        <w:t>opens up</w:t>
      </w:r>
      <w:proofErr w:type="gramEnd"/>
      <w:r>
        <w:rPr>
          <w:rFonts w:ascii="Palatino Linotype" w:hAnsi="Palatino Linotype"/>
        </w:rPr>
        <w:t xml:space="preserve"> questions about how to understand those ideas which they share: if thinking that liberty is the fundamental moral and political value can form the basis of arguments for such different policy proposals or moral judgements, what is liberty really like? Do anarchists and conservatives have radically different ideas about what liberty is – or what its value is – or are they drawing on a common idea which is broad enough to make room for very different ways of ‘respecting liberty’? Answering such quest</w:t>
      </w:r>
      <w:r>
        <w:rPr>
          <w:rFonts w:ascii="Palatino Linotype" w:hAnsi="Palatino Linotype"/>
        </w:rPr>
        <w:t xml:space="preserve">ions is a way of better understanding what a concept like </w:t>
      </w:r>
      <w:r>
        <w:rPr>
          <w:rFonts w:ascii="Palatino Linotype" w:hAnsi="Palatino Linotype"/>
          <w:i/>
          <w:iCs/>
        </w:rPr>
        <w:t>liberty</w:t>
      </w:r>
      <w:r>
        <w:rPr>
          <w:rFonts w:ascii="Palatino Linotype" w:hAnsi="Palatino Linotype"/>
        </w:rPr>
        <w:t xml:space="preserve"> really means – which is surely interesting, philosophically, </w:t>
      </w:r>
      <w:proofErr w:type="gramStart"/>
      <w:r>
        <w:rPr>
          <w:rFonts w:ascii="Palatino Linotype" w:hAnsi="Palatino Linotype"/>
        </w:rPr>
        <w:t>whether or not</w:t>
      </w:r>
      <w:proofErr w:type="gramEnd"/>
      <w:r>
        <w:rPr>
          <w:rFonts w:ascii="Palatino Linotype" w:hAnsi="Palatino Linotype"/>
        </w:rPr>
        <w:t xml:space="preserve"> we care much about anarchism or conservatism as political stances. </w:t>
      </w:r>
    </w:p>
    <w:p w14:paraId="14BEC7A2" w14:textId="77777777" w:rsidR="00C16F34" w:rsidRDefault="00344A42">
      <w:pPr>
        <w:ind w:firstLine="720"/>
        <w:rPr>
          <w:rFonts w:ascii="Palatino Linotype" w:hAnsi="Palatino Linotype"/>
        </w:rPr>
      </w:pPr>
      <w:r>
        <w:rPr>
          <w:rFonts w:ascii="Palatino Linotype" w:hAnsi="Palatino Linotype"/>
        </w:rPr>
        <w:t xml:space="preserve">This is a </w:t>
      </w:r>
      <w:r>
        <w:rPr>
          <w:rFonts w:ascii="Palatino Linotype" w:hAnsi="Palatino Linotype"/>
          <w:i/>
          <w:iCs/>
        </w:rPr>
        <w:t>philosophy</w:t>
      </w:r>
      <w:r>
        <w:rPr>
          <w:rFonts w:ascii="Palatino Linotype" w:hAnsi="Palatino Linotype"/>
        </w:rPr>
        <w:t xml:space="preserve"> module – not a politics module. So, we are not going to be concerned with what members or supporters of particular political parties think; we are going to be concerned with what the </w:t>
      </w:r>
      <w:r>
        <w:rPr>
          <w:rFonts w:ascii="Palatino Linotype" w:hAnsi="Palatino Linotype"/>
          <w:i/>
          <w:iCs/>
        </w:rPr>
        <w:t xml:space="preserve">arguments </w:t>
      </w:r>
      <w:r>
        <w:rPr>
          <w:rFonts w:ascii="Palatino Linotype" w:hAnsi="Palatino Linotype"/>
        </w:rPr>
        <w:t>for particular ideas about morality, politics and society are, regardless of what politicians or people on social media or in the pub say.</w:t>
      </w:r>
      <w:r>
        <w:rPr>
          <w:rStyle w:val="FootnoteReference"/>
          <w:rFonts w:ascii="Palatino Linotype" w:hAnsi="Palatino Linotype"/>
        </w:rPr>
        <w:footnoteReference w:id="5"/>
      </w:r>
      <w:r>
        <w:rPr>
          <w:rFonts w:ascii="Palatino Linotype" w:hAnsi="Palatino Linotype"/>
        </w:rPr>
        <w:t xml:space="preserve"> </w:t>
      </w:r>
      <w:r>
        <w:rPr>
          <w:rFonts w:ascii="Palatino Linotype" w:hAnsi="Palatino Linotype"/>
        </w:rPr>
        <w:lastRenderedPageBreak/>
        <w:t>This is particularly important to remember when we think about conservatism. We will read texts which defend positions that are commonly characterised as, or deserve to be called, ‘conservative’, and the point will be to think critically about the arguments and ideas those texts contain or suggest. Given our purpose it will be pointless to worry about whether those ideas are ones which you might find in an actual Conservative Party manifesto, or whether people who vote conservative tend to believe in those</w:t>
      </w:r>
      <w:r>
        <w:rPr>
          <w:rFonts w:ascii="Palatino Linotype" w:hAnsi="Palatino Linotype"/>
        </w:rPr>
        <w:t xml:space="preserve"> ideas. That is the </w:t>
      </w:r>
      <w:r>
        <w:rPr>
          <w:rFonts w:ascii="Palatino Linotype" w:hAnsi="Palatino Linotype"/>
          <w:i/>
          <w:iCs/>
        </w:rPr>
        <w:t>sociology</w:t>
      </w:r>
      <w:r>
        <w:rPr>
          <w:rFonts w:ascii="Palatino Linotype" w:hAnsi="Palatino Linotype"/>
        </w:rPr>
        <w:t xml:space="preserve"> of politics; political </w:t>
      </w:r>
      <w:r>
        <w:rPr>
          <w:rFonts w:ascii="Palatino Linotype" w:hAnsi="Palatino Linotype"/>
          <w:i/>
          <w:iCs/>
        </w:rPr>
        <w:t>philosophy</w:t>
      </w:r>
      <w:r>
        <w:rPr>
          <w:rFonts w:ascii="Palatino Linotype" w:hAnsi="Palatino Linotype"/>
        </w:rPr>
        <w:t xml:space="preserve"> is about trying to understand the reasons for endorsing certain beliefs, not the psychology or personality of the people who happen to endorse them, or who might be expected to because of the name of the political party they support. (A similar point applies to our study of anarchism as well, of course. But it will probably be easier to stick to what’s relevant in that case, because as it happens there isn’t a prominent ‘Anarchist Party’ active</w:t>
      </w:r>
      <w:r>
        <w:rPr>
          <w:rFonts w:ascii="Palatino Linotype" w:hAnsi="Palatino Linotype"/>
        </w:rPr>
        <w:t xml:space="preserve"> in UK politics which we might be </w:t>
      </w:r>
      <w:r>
        <w:rPr>
          <w:rFonts w:ascii="Palatino Linotype" w:hAnsi="Palatino Linotype"/>
          <w:i/>
          <w:iCs/>
        </w:rPr>
        <w:t>tempted</w:t>
      </w:r>
      <w:r>
        <w:rPr>
          <w:rFonts w:ascii="Palatino Linotype" w:hAnsi="Palatino Linotype"/>
        </w:rPr>
        <w:t xml:space="preserve"> to think we are talking about.)</w:t>
      </w:r>
    </w:p>
    <w:p w14:paraId="75FD4D0B" w14:textId="77777777" w:rsidR="00C16F34" w:rsidRDefault="00344A42">
      <w:pPr>
        <w:ind w:firstLine="720"/>
        <w:rPr>
          <w:rFonts w:ascii="Palatino Linotype" w:hAnsi="Palatino Linotype"/>
        </w:rPr>
      </w:pPr>
      <w:r>
        <w:rPr>
          <w:rFonts w:ascii="Palatino Linotype" w:hAnsi="Palatino Linotype"/>
        </w:rPr>
        <w:t xml:space="preserve">Having said that we are interested in the arguments and ideas, it is an unfortunate fact that in many of the texts we will read, the arguments are at best alluded to rather </w:t>
      </w:r>
      <w:proofErr w:type="gramStart"/>
      <w:r>
        <w:rPr>
          <w:rFonts w:ascii="Palatino Linotype" w:hAnsi="Palatino Linotype"/>
        </w:rPr>
        <w:t>vaguely, and</w:t>
      </w:r>
      <w:proofErr w:type="gramEnd"/>
      <w:r>
        <w:rPr>
          <w:rFonts w:ascii="Palatino Linotype" w:hAnsi="Palatino Linotype"/>
        </w:rPr>
        <w:t xml:space="preserve"> often rely upon (sometimes hidden) assumptions which are not themselves defended but which are controversial – and philosophically </w:t>
      </w:r>
      <w:proofErr w:type="gramStart"/>
      <w:r>
        <w:rPr>
          <w:rFonts w:ascii="Palatino Linotype" w:hAnsi="Palatino Linotype"/>
        </w:rPr>
        <w:t>interesting in their own right</w:t>
      </w:r>
      <w:proofErr w:type="gramEnd"/>
      <w:r>
        <w:rPr>
          <w:rFonts w:ascii="Palatino Linotype" w:hAnsi="Palatino Linotype"/>
        </w:rPr>
        <w:t xml:space="preserve">. So, another aspect of this module will be </w:t>
      </w:r>
      <w:r>
        <w:rPr>
          <w:rFonts w:ascii="Palatino Linotype" w:hAnsi="Palatino Linotype"/>
          <w:i/>
          <w:iCs/>
        </w:rPr>
        <w:t>reconstructing</w:t>
      </w:r>
      <w:r>
        <w:rPr>
          <w:rFonts w:ascii="Palatino Linotype" w:hAnsi="Palatino Linotype"/>
        </w:rPr>
        <w:t xml:space="preserve"> arguments and considering issues – including issues in epistemology and other areas of philosophy beyond ethics and political theory – which the arguments we reconstruct make assumptions about. </w:t>
      </w:r>
    </w:p>
    <w:p w14:paraId="11818BDF" w14:textId="77777777" w:rsidR="00C16F34" w:rsidRDefault="00344A42">
      <w:pPr>
        <w:ind w:firstLine="720"/>
        <w:rPr>
          <w:rFonts w:ascii="Palatino Linotype" w:hAnsi="Palatino Linotype"/>
        </w:rPr>
      </w:pPr>
      <w:r>
        <w:rPr>
          <w:rFonts w:ascii="Palatino Linotype" w:hAnsi="Palatino Linotype"/>
        </w:rPr>
        <w:t>What do I mean by ‘reconstructing’ arguments? Reconstructing an argument is the creative process of building an argument which adds to what is given in a particular text, making things more explicit and precise which are vague in the text, and/or stating missing premises which are required to make the arguments work (or which will suffice to make them work – perhaps there are various different assumptions we could add) but which are not stated or indicated at all in the text. Unfortunately, many of the writ</w:t>
      </w:r>
      <w:r>
        <w:rPr>
          <w:rFonts w:ascii="Palatino Linotype" w:hAnsi="Palatino Linotype"/>
        </w:rPr>
        <w:t xml:space="preserve">ers we will be reading don’t do a very good job of </w:t>
      </w:r>
      <w:r>
        <w:rPr>
          <w:rFonts w:ascii="Palatino Linotype" w:hAnsi="Palatino Linotype"/>
          <w:i/>
          <w:iCs/>
        </w:rPr>
        <w:t>arguing</w:t>
      </w:r>
      <w:r>
        <w:rPr>
          <w:rFonts w:ascii="Palatino Linotype" w:hAnsi="Palatino Linotype"/>
        </w:rPr>
        <w:t xml:space="preserve"> for the view they – sometimes forcefully – express, so our first philosophical task will be to see how to fix the fragmented or incomplete arguments which they suggest so that we have a clear, precise line of thought which we can assess critically. (This is an important philosophical skill: fixing up arguments in this way is often required, because philosophers are often unclear or leave some of their crucial assumptions unstated.) </w:t>
      </w:r>
    </w:p>
    <w:p w14:paraId="31DF9AA4" w14:textId="77777777" w:rsidR="00C16F34" w:rsidRDefault="00344A42">
      <w:pPr>
        <w:ind w:firstLine="720"/>
        <w:rPr>
          <w:rFonts w:ascii="Palatino Linotype" w:hAnsi="Palatino Linotype"/>
        </w:rPr>
      </w:pPr>
      <w:r>
        <w:rPr>
          <w:rFonts w:ascii="Palatino Linotype" w:hAnsi="Palatino Linotype"/>
        </w:rPr>
        <w:t xml:space="preserve">In the course of reconstructing some of these arguments – and </w:t>
      </w:r>
      <w:r>
        <w:rPr>
          <w:rFonts w:ascii="Palatino Linotype" w:hAnsi="Palatino Linotype"/>
          <w:i/>
          <w:iCs/>
        </w:rPr>
        <w:t>my</w:t>
      </w:r>
      <w:r>
        <w:rPr>
          <w:rFonts w:ascii="Palatino Linotype" w:hAnsi="Palatino Linotype"/>
        </w:rPr>
        <w:t xml:space="preserve"> reconstructions of them are just to get us started: you must, of course, consider for yourself whether there is a better version of the argument which I have missed – I will be quite free-ranging and will take the opportunity to introduce you to or invite discussion of various ideas in contemporary moral theory and some aspects of epistemology which our authors probably didn’t consider in any depth at all. But this is appropriate, I think, because if the best version of an argument relies upon a particul</w:t>
      </w:r>
      <w:r>
        <w:rPr>
          <w:rFonts w:ascii="Palatino Linotype" w:hAnsi="Palatino Linotype"/>
        </w:rPr>
        <w:t xml:space="preserve">ar idea, it doesn’t matter much </w:t>
      </w:r>
      <w:r>
        <w:rPr>
          <w:rFonts w:ascii="Palatino Linotype" w:hAnsi="Palatino Linotype"/>
          <w:i/>
          <w:iCs/>
        </w:rPr>
        <w:t>philosophically</w:t>
      </w:r>
      <w:r>
        <w:rPr>
          <w:rFonts w:ascii="Palatino Linotype" w:hAnsi="Palatino Linotype"/>
        </w:rPr>
        <w:t xml:space="preserve"> if the author who’s argument we are reconstructing wouldn’t, themselves, argue this way: it might be interesting as a matter of the </w:t>
      </w:r>
      <w:r>
        <w:rPr>
          <w:rFonts w:ascii="Palatino Linotype" w:hAnsi="Palatino Linotype"/>
          <w:i/>
          <w:iCs/>
        </w:rPr>
        <w:t>history of ideas</w:t>
      </w:r>
      <w:r>
        <w:rPr>
          <w:rFonts w:ascii="Palatino Linotype" w:hAnsi="Palatino Linotype"/>
        </w:rPr>
        <w:t>, or the biography of that author, whether or not they themselves would be inclined to develop the argument as we have; but if an argument works, it works (and if it doesn’t, it doesn’t), regardless of whether a particular person would think to make it. Anyway, I hope that our brief forays into, e.g., recent ‘</w:t>
      </w:r>
      <w:proofErr w:type="spellStart"/>
      <w:r>
        <w:rPr>
          <w:rFonts w:ascii="Palatino Linotype" w:hAnsi="Palatino Linotype"/>
        </w:rPr>
        <w:t>suffi</w:t>
      </w:r>
      <w:r>
        <w:rPr>
          <w:rFonts w:ascii="Palatino Linotype" w:hAnsi="Palatino Linotype"/>
        </w:rPr>
        <w:t>cientarian</w:t>
      </w:r>
      <w:proofErr w:type="spellEnd"/>
      <w:r>
        <w:rPr>
          <w:rFonts w:ascii="Palatino Linotype" w:hAnsi="Palatino Linotype"/>
        </w:rPr>
        <w:t xml:space="preserve">’ moral theory when we think about de </w:t>
      </w:r>
      <w:proofErr w:type="spellStart"/>
      <w:r>
        <w:rPr>
          <w:rFonts w:ascii="Palatino Linotype" w:hAnsi="Palatino Linotype"/>
        </w:rPr>
        <w:t>Cleyre’s</w:t>
      </w:r>
      <w:proofErr w:type="spellEnd"/>
      <w:r>
        <w:rPr>
          <w:rFonts w:ascii="Palatino Linotype" w:hAnsi="Palatino Linotype"/>
        </w:rPr>
        <w:t xml:space="preserve"> ideas will be interesting insights into things which are also worth exploring further in their own right.  </w:t>
      </w:r>
    </w:p>
    <w:p w14:paraId="6A3C5AFE" w14:textId="77777777" w:rsidR="00C16F34" w:rsidRDefault="00344A42">
      <w:pPr>
        <w:ind w:firstLine="720"/>
        <w:rPr>
          <w:rFonts w:ascii="Palatino Linotype" w:hAnsi="Palatino Linotype"/>
        </w:rPr>
      </w:pPr>
      <w:r>
        <w:rPr>
          <w:rFonts w:ascii="Palatino Linotype" w:hAnsi="Palatino Linotype"/>
        </w:rPr>
        <w:t xml:space="preserve">Having said all that, though, we shall read the texts we are reading </w:t>
      </w:r>
      <w:proofErr w:type="gramStart"/>
      <w:r>
        <w:rPr>
          <w:rFonts w:ascii="Palatino Linotype" w:hAnsi="Palatino Linotype"/>
          <w:i/>
          <w:iCs/>
        </w:rPr>
        <w:t>carefully</w:t>
      </w:r>
      <w:r>
        <w:rPr>
          <w:rFonts w:ascii="Palatino Linotype" w:hAnsi="Palatino Linotype"/>
        </w:rPr>
        <w:t>, and</w:t>
      </w:r>
      <w:proofErr w:type="gramEnd"/>
      <w:r>
        <w:rPr>
          <w:rFonts w:ascii="Palatino Linotype" w:hAnsi="Palatino Linotype"/>
        </w:rPr>
        <w:t xml:space="preserve"> try to work out as well as possible what their authors are trying to say to us. Constructing </w:t>
      </w:r>
      <w:r>
        <w:rPr>
          <w:rFonts w:ascii="Palatino Linotype" w:hAnsi="Palatino Linotype"/>
        </w:rPr>
        <w:lastRenderedPageBreak/>
        <w:t>arguments for ourselves is all very well, but re-inventing the wheel is inefficient and our texts might contain interesting ideas and arguments which (</w:t>
      </w:r>
      <w:proofErr w:type="spellStart"/>
      <w:r>
        <w:rPr>
          <w:rFonts w:ascii="Palatino Linotype" w:hAnsi="Palatino Linotype"/>
        </w:rPr>
        <w:t>i</w:t>
      </w:r>
      <w:proofErr w:type="spellEnd"/>
      <w:r>
        <w:rPr>
          <w:rFonts w:ascii="Palatino Linotype" w:hAnsi="Palatino Linotype"/>
        </w:rPr>
        <w:t>) wouldn’t have occurred to us otherwise, but which (ii) we need to read the texts carefully to discover. And as we work our way through that process of reading these texts carefully, we will – almost incidentally – be getting a sense of some moments i</w:t>
      </w:r>
      <w:r>
        <w:rPr>
          <w:rFonts w:ascii="Palatino Linotype" w:hAnsi="Palatino Linotype"/>
        </w:rPr>
        <w:t xml:space="preserve">n the history of political ideas. </w:t>
      </w:r>
    </w:p>
    <w:p w14:paraId="287BC52D" w14:textId="77777777" w:rsidR="00C16F34" w:rsidRDefault="00344A42">
      <w:pPr>
        <w:pStyle w:val="Heading1"/>
        <w:rPr>
          <w:rFonts w:ascii="Palatino Linotype" w:hAnsi="Palatino Linotype"/>
        </w:rPr>
      </w:pPr>
      <w:r>
        <w:rPr>
          <w:rFonts w:ascii="Palatino Linotype" w:hAnsi="Palatino Linotype"/>
        </w:rPr>
        <w:t>Lecture and Seminars</w:t>
      </w:r>
    </w:p>
    <w:p w14:paraId="2F480F56" w14:textId="77777777" w:rsidR="00C16F34" w:rsidRDefault="00344A42">
      <w:pPr>
        <w:rPr>
          <w:rFonts w:ascii="Palatino Linotype" w:hAnsi="Palatino Linotype"/>
        </w:rPr>
      </w:pPr>
      <w:r>
        <w:rPr>
          <w:rFonts w:ascii="Palatino Linotype" w:hAnsi="Palatino Linotype"/>
        </w:rPr>
        <w:t>This module will involve one two-hour lecture most weeks, in teaching Weeks 1 – 11, excluding ‘consolidation week’ (which falls between teaching weeks 5 and 6) and teaching Week 6 (immediately after consolidation week), when I will have extra office hours to give you feedback on your formative work instead; and one hour-long seminar (well, fifty minutes: we should start everything – including lectures – at five-past and finish at five-to the hour) in the same weeks. (In teaching Week 11, I will give a lectu</w:t>
      </w:r>
      <w:r>
        <w:rPr>
          <w:rFonts w:ascii="Palatino Linotype" w:hAnsi="Palatino Linotype"/>
        </w:rPr>
        <w:t>re, but it will be about preparing for your assessment, not new module material; and that week, I will have further extra office hours to talk to you about your assessments if you wish.)</w:t>
      </w:r>
    </w:p>
    <w:p w14:paraId="7A8134B9" w14:textId="77777777" w:rsidR="00C16F34" w:rsidRDefault="00344A42">
      <w:pPr>
        <w:rPr>
          <w:rFonts w:ascii="Palatino Linotype" w:hAnsi="Palatino Linotype"/>
        </w:rPr>
      </w:pPr>
      <w:r>
        <w:rPr>
          <w:rFonts w:ascii="Palatino Linotype" w:hAnsi="Palatino Linotype"/>
        </w:rPr>
        <w:tab/>
        <w:t xml:space="preserve">Each week, you should read the relevant piece(s) of </w:t>
      </w:r>
      <w:r>
        <w:rPr>
          <w:rFonts w:ascii="Palatino Linotype" w:hAnsi="Palatino Linotype"/>
          <w:i/>
          <w:iCs/>
        </w:rPr>
        <w:t>essential</w:t>
      </w:r>
      <w:r>
        <w:rPr>
          <w:rFonts w:ascii="Palatino Linotype" w:hAnsi="Palatino Linotype"/>
        </w:rPr>
        <w:t xml:space="preserve"> reading (indicated by an asterisk: ‘*’) </w:t>
      </w:r>
      <w:r>
        <w:rPr>
          <w:rFonts w:ascii="Palatino Linotype" w:hAnsi="Palatino Linotype"/>
          <w:i/>
          <w:iCs/>
        </w:rPr>
        <w:t>before</w:t>
      </w:r>
      <w:r>
        <w:rPr>
          <w:rFonts w:ascii="Palatino Linotype" w:hAnsi="Palatino Linotype"/>
        </w:rPr>
        <w:t xml:space="preserve"> the lecture each week. On this first reading, read all the way through and do not getting stuck on </w:t>
      </w:r>
      <w:proofErr w:type="gramStart"/>
      <w:r>
        <w:rPr>
          <w:rFonts w:ascii="Palatino Linotype" w:hAnsi="Palatino Linotype"/>
        </w:rPr>
        <w:t>particular parts</w:t>
      </w:r>
      <w:proofErr w:type="gramEnd"/>
      <w:r>
        <w:rPr>
          <w:rFonts w:ascii="Palatino Linotype" w:hAnsi="Palatino Linotype"/>
        </w:rPr>
        <w:t xml:space="preserve"> you don’t understand. Don’t make your detailed reading notes on this reading. Then </w:t>
      </w:r>
      <w:r>
        <w:rPr>
          <w:rFonts w:ascii="Palatino Linotype" w:hAnsi="Palatino Linotype"/>
          <w:i/>
          <w:iCs/>
        </w:rPr>
        <w:t>after</w:t>
      </w:r>
      <w:r>
        <w:rPr>
          <w:rFonts w:ascii="Palatino Linotype" w:hAnsi="Palatino Linotype"/>
        </w:rPr>
        <w:t xml:space="preserve"> the lecture, re-read the texts as part of your seminar preparation, and on </w:t>
      </w:r>
      <w:r>
        <w:rPr>
          <w:rFonts w:ascii="Palatino Linotype" w:hAnsi="Palatino Linotype"/>
          <w:i/>
          <w:iCs/>
        </w:rPr>
        <w:t>this</w:t>
      </w:r>
      <w:r>
        <w:rPr>
          <w:rFonts w:ascii="Palatino Linotype" w:hAnsi="Palatino Linotype"/>
        </w:rPr>
        <w:t xml:space="preserve"> read through, note down things you don’t understand and need to ask about etc. The other reading indicated for each topic might be referred to in the lectures, and/or mig</w:t>
      </w:r>
      <w:r>
        <w:rPr>
          <w:rFonts w:ascii="Palatino Linotype" w:hAnsi="Palatino Linotype"/>
        </w:rPr>
        <w:t xml:space="preserve">ht be things you could usefully look at related to the topic, especially if you are writing about it.  </w:t>
      </w:r>
    </w:p>
    <w:p w14:paraId="49D09F48" w14:textId="77777777" w:rsidR="00C16F34" w:rsidRDefault="00344A42">
      <w:pPr>
        <w:rPr>
          <w:rFonts w:ascii="Palatino Linotype" w:hAnsi="Palatino Linotype"/>
        </w:rPr>
      </w:pPr>
      <w:r>
        <w:rPr>
          <w:rFonts w:ascii="Palatino Linotype" w:hAnsi="Palatino Linotype"/>
        </w:rPr>
        <w:tab/>
        <w:t>In lectures I will try to set things up for us to think about. I will pull out and explain some interesting ideas from the essential reading, and I will draw some connections with wider philosophical issues and reconstruct some of the arguments in a bit more detail. You should stop me to ask clarificatory questions whenever necessary, and I will pause at various points to invite questions, too. But mostly, I will be telling a story in the lectures: the story of how a set of ideas fit together, and what (so</w:t>
      </w:r>
      <w:r>
        <w:rPr>
          <w:rFonts w:ascii="Palatino Linotype" w:hAnsi="Palatino Linotype"/>
        </w:rPr>
        <w:t xml:space="preserve">me of) the challenges to those ideas might be, and perhaps how they might be met. This should give you plenty to think about as you prepare for the seminar that week. </w:t>
      </w:r>
    </w:p>
    <w:p w14:paraId="637B7395" w14:textId="77777777" w:rsidR="00C16F34" w:rsidRDefault="00344A42">
      <w:pPr>
        <w:ind w:firstLine="720"/>
        <w:rPr>
          <w:rFonts w:ascii="Palatino Linotype" w:hAnsi="Palatino Linotype"/>
        </w:rPr>
      </w:pPr>
      <w:r>
        <w:rPr>
          <w:rFonts w:ascii="Palatino Linotype" w:hAnsi="Palatino Linotype"/>
        </w:rPr>
        <w:t xml:space="preserve">After the lecture, you should write up a report (in complete sentence prose – </w:t>
      </w:r>
      <w:r>
        <w:rPr>
          <w:rFonts w:ascii="Palatino Linotype" w:hAnsi="Palatino Linotype"/>
          <w:i/>
          <w:iCs/>
        </w:rPr>
        <w:t>not</w:t>
      </w:r>
      <w:r>
        <w:rPr>
          <w:rFonts w:ascii="Palatino Linotype" w:hAnsi="Palatino Linotype"/>
        </w:rPr>
        <w:t xml:space="preserve"> bullet points – and in your own words) of what the key arguments and critical points are (you should do this as soon as possible, while the lecture is still fresh in your mind). This will not only act as a record of what you have taken from the lecture; it will also highlight to you where you need to do some more work to understand something (if you find yourself not knowing quite what to write down about a particular point, that shows that you need to go back to the reading, or spend some time thinking</w:t>
      </w:r>
      <w:r>
        <w:rPr>
          <w:rFonts w:ascii="Palatino Linotype" w:hAnsi="Palatino Linotype"/>
        </w:rPr>
        <w:t xml:space="preserve"> through what led up to what I said, or write to me, or come along to my office hour): make a note of what you need to return to, and then continue to write up what you </w:t>
      </w:r>
      <w:r>
        <w:rPr>
          <w:rFonts w:ascii="Palatino Linotype" w:hAnsi="Palatino Linotype"/>
          <w:i/>
          <w:iCs/>
        </w:rPr>
        <w:t>do</w:t>
      </w:r>
      <w:r>
        <w:rPr>
          <w:rFonts w:ascii="Palatino Linotype" w:hAnsi="Palatino Linotype"/>
        </w:rPr>
        <w:t xml:space="preserve"> understand (don’t get side-tracked at that moment by worrying about the missing bit, at the cost of recording what you can – and you might find that writing up (= thinking about) the other material sheds some light on what you didn’t get, in the end). Make a note also of your own ideas about the material – these notes will not only give y</w:t>
      </w:r>
      <w:r>
        <w:rPr>
          <w:rFonts w:ascii="Palatino Linotype" w:hAnsi="Palatino Linotype"/>
        </w:rPr>
        <w:t xml:space="preserve">ou things to try out in seminars (having thought them through a bit more), but will also add up to a stock of ideas you can return to when you are thinking about writing your essay for the module, when you need to work out what you have </w:t>
      </w:r>
      <w:r>
        <w:rPr>
          <w:rFonts w:ascii="Palatino Linotype" w:hAnsi="Palatino Linotype"/>
        </w:rPr>
        <w:lastRenderedPageBreak/>
        <w:t xml:space="preserve">something to say about (because a good essay is one which develops an </w:t>
      </w:r>
      <w:r>
        <w:rPr>
          <w:rFonts w:ascii="Palatino Linotype" w:hAnsi="Palatino Linotype"/>
          <w:i/>
          <w:iCs/>
        </w:rPr>
        <w:t>argument</w:t>
      </w:r>
      <w:r>
        <w:rPr>
          <w:rFonts w:ascii="Palatino Linotype" w:hAnsi="Palatino Linotype"/>
        </w:rPr>
        <w:t xml:space="preserve">, rather than just regurgitating ideas from the lecture!).  </w:t>
      </w:r>
    </w:p>
    <w:p w14:paraId="120E0096" w14:textId="77777777" w:rsidR="00C16F34" w:rsidRDefault="00344A42">
      <w:pPr>
        <w:rPr>
          <w:rFonts w:ascii="Palatino Linotype" w:hAnsi="Palatino Linotype"/>
        </w:rPr>
      </w:pPr>
      <w:r>
        <w:rPr>
          <w:rFonts w:ascii="Palatino Linotype" w:hAnsi="Palatino Linotype"/>
        </w:rPr>
        <w:tab/>
        <w:t xml:space="preserve"> I will start each seminar by asking for and answering </w:t>
      </w:r>
      <w:r>
        <w:rPr>
          <w:rFonts w:ascii="Palatino Linotype" w:hAnsi="Palatino Linotype"/>
          <w:i/>
          <w:iCs/>
        </w:rPr>
        <w:t>clarificatory</w:t>
      </w:r>
      <w:r>
        <w:rPr>
          <w:rFonts w:ascii="Palatino Linotype" w:hAnsi="Palatino Linotype"/>
        </w:rPr>
        <w:t xml:space="preserve"> questions: things I said in the lecture or which you found in the reading which you don’t understand. (Ideally you would raise these questions in the lecture or office hour, rather than waiting for the seminar, so that you can progress with thinking about the ideas once you understand them in advance of the seminar. But some questions might not arise until close to the seminar, as you reflect on things, and even if you could have asked earlier and didn’t, it is much better to ask in the semina</w:t>
      </w:r>
      <w:r>
        <w:rPr>
          <w:rFonts w:ascii="Palatino Linotype" w:hAnsi="Palatino Linotype"/>
        </w:rPr>
        <w:t xml:space="preserve">r than not at all!) Then we will move on to discussing our (= your) ideas about the arguments and views described in the lecture. This is where you can try out your arguments and test your ideas in conversation, so you should make the most of this (apart from being the essence of philosophy, it is the best way of working out what is promising as an argument to perhaps develop in an essay, and how that development might need to go). </w:t>
      </w:r>
    </w:p>
    <w:p w14:paraId="3E392BB8" w14:textId="77777777" w:rsidR="00C16F34" w:rsidRDefault="00344A42">
      <w:pPr>
        <w:rPr>
          <w:rFonts w:ascii="Palatino Linotype" w:hAnsi="Palatino Linotype"/>
        </w:rPr>
      </w:pPr>
      <w:r>
        <w:rPr>
          <w:rFonts w:ascii="Palatino Linotype" w:hAnsi="Palatino Linotype"/>
        </w:rPr>
        <w:tab/>
        <w:t xml:space="preserve">As soon as possible after your seminar, you should again write up a report of what was discussed, just as you did after the lecture. Important details will emerge in seminar discussions, and interesting ideas will be suggested, over and above what was said in lectures, and you shouldn’t lose these by not recording them. In lecture and </w:t>
      </w:r>
      <w:proofErr w:type="gramStart"/>
      <w:r>
        <w:rPr>
          <w:rFonts w:ascii="Palatino Linotype" w:hAnsi="Palatino Linotype"/>
        </w:rPr>
        <w:t>seminars</w:t>
      </w:r>
      <w:proofErr w:type="gramEnd"/>
      <w:r>
        <w:rPr>
          <w:rFonts w:ascii="Palatino Linotype" w:hAnsi="Palatino Linotype"/>
        </w:rPr>
        <w:t xml:space="preserve"> you will be rather distracted from listening, understanding and contributing if you are writing lots down. But writing things down soon afterwards can be the best of both worlds: you have notes to </w:t>
      </w:r>
      <w:proofErr w:type="gramStart"/>
      <w:r>
        <w:rPr>
          <w:rFonts w:ascii="Palatino Linotype" w:hAnsi="Palatino Linotype"/>
        </w:rPr>
        <w:t>refer back</w:t>
      </w:r>
      <w:proofErr w:type="gramEnd"/>
      <w:r>
        <w:rPr>
          <w:rFonts w:ascii="Palatino Linotype" w:hAnsi="Palatino Linotype"/>
        </w:rPr>
        <w:t xml:space="preserve"> to, but you have also been able to fully engage with the conversation and following the line of thought at the time. Writing things down once you have a complete overview of what was said at the end can also make it easier to see what turned out to be most relevant and what was, in fact, just a</w:t>
      </w:r>
      <w:r>
        <w:rPr>
          <w:rFonts w:ascii="Palatino Linotype" w:hAnsi="Palatino Linotype"/>
        </w:rPr>
        <w:t xml:space="preserve"> passing comment which didn’t need to be retained, and how the ideas fit together, which can be reflected in how you write them up. </w:t>
      </w:r>
      <w:r>
        <w:rPr>
          <w:rFonts w:ascii="Palatino Linotype" w:hAnsi="Palatino Linotype"/>
        </w:rPr>
        <w:tab/>
        <w:t xml:space="preserve"> </w:t>
      </w:r>
    </w:p>
    <w:p w14:paraId="324F18A6" w14:textId="77777777" w:rsidR="00C16F34" w:rsidRDefault="00344A42">
      <w:pPr>
        <w:pStyle w:val="Heading1"/>
        <w:rPr>
          <w:rFonts w:ascii="Palatino Linotype" w:hAnsi="Palatino Linotype"/>
        </w:rPr>
      </w:pPr>
      <w:r>
        <w:rPr>
          <w:rFonts w:ascii="Palatino Linotype" w:hAnsi="Palatino Linotype"/>
        </w:rPr>
        <w:t>Assessments</w:t>
      </w:r>
    </w:p>
    <w:p w14:paraId="1F7153E0" w14:textId="77777777" w:rsidR="00C16F34" w:rsidRDefault="00344A42">
      <w:pPr>
        <w:pStyle w:val="Heading3"/>
        <w:rPr>
          <w:rFonts w:ascii="Palatino Linotype" w:hAnsi="Palatino Linotype"/>
        </w:rPr>
      </w:pPr>
      <w:r>
        <w:rPr>
          <w:rFonts w:ascii="Palatino Linotype" w:hAnsi="Palatino Linotype"/>
        </w:rPr>
        <w:t>Formative Assessments</w:t>
      </w:r>
    </w:p>
    <w:p w14:paraId="59AB7B5C" w14:textId="77777777" w:rsidR="00C16F34" w:rsidRDefault="00344A42">
      <w:pPr>
        <w:rPr>
          <w:rFonts w:ascii="Palatino Linotype" w:hAnsi="Palatino Linotype"/>
        </w:rPr>
      </w:pPr>
      <w:r>
        <w:rPr>
          <w:rFonts w:ascii="Palatino Linotype" w:hAnsi="Palatino Linotype"/>
        </w:rPr>
        <w:t xml:space="preserve">There will be two formative assessment opportunities for this module. </w:t>
      </w:r>
      <w:r>
        <w:rPr>
          <w:rFonts w:ascii="Palatino Linotype" w:hAnsi="Palatino Linotype"/>
          <w:b/>
          <w:bCs/>
        </w:rPr>
        <w:t>First</w:t>
      </w:r>
      <w:r>
        <w:rPr>
          <w:rFonts w:ascii="Palatino Linotype" w:hAnsi="Palatino Linotype"/>
        </w:rPr>
        <w:t xml:space="preserve">, you can send one of your lecture or seminar reports, written up after the lecture or seminar, to me by the end of consolidation week, and I will read over and give some comments on it. This should help to give you a sense of how well you are getting to grips with the discussion we are </w:t>
      </w:r>
      <w:proofErr w:type="gramStart"/>
      <w:r>
        <w:rPr>
          <w:rFonts w:ascii="Palatino Linotype" w:hAnsi="Palatino Linotype"/>
        </w:rPr>
        <w:t>having, and</w:t>
      </w:r>
      <w:proofErr w:type="gramEnd"/>
      <w:r>
        <w:rPr>
          <w:rFonts w:ascii="Palatino Linotype" w:hAnsi="Palatino Linotype"/>
        </w:rPr>
        <w:t xml:space="preserve"> should also help to guide you in how to write up your notes after lectures and seminars. </w:t>
      </w:r>
      <w:r>
        <w:rPr>
          <w:rFonts w:ascii="Palatino Linotype" w:hAnsi="Palatino Linotype"/>
          <w:b/>
          <w:bCs/>
        </w:rPr>
        <w:t>Second</w:t>
      </w:r>
      <w:r>
        <w:rPr>
          <w:rFonts w:ascii="Palatino Linotype" w:hAnsi="Palatino Linotype"/>
        </w:rPr>
        <w:t xml:space="preserve">, I will set a formative task due at the start of Week 11 which will help you to plan an essay for the module. </w:t>
      </w:r>
    </w:p>
    <w:p w14:paraId="22A86119" w14:textId="77777777" w:rsidR="00C16F34" w:rsidRDefault="00C16F34">
      <w:pPr>
        <w:rPr>
          <w:rFonts w:ascii="Palatino Linotype" w:hAnsi="Palatino Linotype"/>
        </w:rPr>
      </w:pPr>
    </w:p>
    <w:p w14:paraId="30A1CC68" w14:textId="77777777" w:rsidR="00C16F34" w:rsidRDefault="00344A42">
      <w:pPr>
        <w:pStyle w:val="Heading3"/>
        <w:rPr>
          <w:rFonts w:ascii="Palatino Linotype" w:hAnsi="Palatino Linotype"/>
        </w:rPr>
      </w:pPr>
      <w:r>
        <w:rPr>
          <w:rFonts w:ascii="Palatino Linotype" w:hAnsi="Palatino Linotype"/>
        </w:rPr>
        <w:t>Summative Assessments</w:t>
      </w:r>
    </w:p>
    <w:p w14:paraId="4A2B80D5" w14:textId="71D9B6B4" w:rsidR="00C16F34" w:rsidRDefault="00344A42">
      <w:pPr>
        <w:rPr>
          <w:rFonts w:ascii="Palatino Linotype" w:hAnsi="Palatino Linotype"/>
        </w:rPr>
      </w:pPr>
      <w:r>
        <w:rPr>
          <w:rFonts w:ascii="Palatino Linotype" w:hAnsi="Palatino Linotype"/>
        </w:rPr>
        <w:t xml:space="preserve">You will be required to submit one essay, answering one question chosen from a list provided (released around consolidation week), of no more than </w:t>
      </w:r>
      <w:r>
        <w:rPr>
          <w:rFonts w:ascii="Palatino Linotype" w:hAnsi="Palatino Linotype"/>
          <w:b/>
          <w:bCs/>
        </w:rPr>
        <w:t>3000 words</w:t>
      </w:r>
      <w:r>
        <w:rPr>
          <w:rFonts w:ascii="Palatino Linotype" w:hAnsi="Palatino Linotype"/>
        </w:rPr>
        <w:t xml:space="preserve">. This will be due before </w:t>
      </w:r>
      <w:r>
        <w:rPr>
          <w:rFonts w:ascii="Palatino Linotype" w:hAnsi="Palatino Linotype"/>
          <w:b/>
          <w:bCs/>
        </w:rPr>
        <w:t>1</w:t>
      </w:r>
      <w:r w:rsidR="00EE24AE">
        <w:rPr>
          <w:rFonts w:ascii="Palatino Linotype" w:hAnsi="Palatino Linotype"/>
          <w:b/>
          <w:bCs/>
        </w:rPr>
        <w:t>0am</w:t>
      </w:r>
      <w:r>
        <w:rPr>
          <w:rFonts w:ascii="Palatino Linotype" w:hAnsi="Palatino Linotype"/>
          <w:b/>
          <w:bCs/>
        </w:rPr>
        <w:t xml:space="preserve"> on Monday 1</w:t>
      </w:r>
      <w:r w:rsidR="0000411E">
        <w:rPr>
          <w:rFonts w:ascii="Palatino Linotype" w:hAnsi="Palatino Linotype"/>
          <w:b/>
          <w:bCs/>
        </w:rPr>
        <w:t>3</w:t>
      </w:r>
      <w:r>
        <w:rPr>
          <w:rFonts w:ascii="Palatino Linotype" w:hAnsi="Palatino Linotype"/>
          <w:b/>
          <w:bCs/>
          <w:vertAlign w:val="superscript"/>
        </w:rPr>
        <w:t>th</w:t>
      </w:r>
      <w:r>
        <w:rPr>
          <w:rFonts w:ascii="Palatino Linotype" w:hAnsi="Palatino Linotype"/>
          <w:b/>
          <w:bCs/>
        </w:rPr>
        <w:t xml:space="preserve"> January 202</w:t>
      </w:r>
      <w:r w:rsidR="0000411E">
        <w:rPr>
          <w:rFonts w:ascii="Palatino Linotype" w:hAnsi="Palatino Linotype"/>
          <w:b/>
          <w:bCs/>
        </w:rPr>
        <w:t>5</w:t>
      </w:r>
      <w:r>
        <w:rPr>
          <w:rFonts w:ascii="Palatino Linotype" w:hAnsi="Palatino Linotype"/>
        </w:rPr>
        <w:t xml:space="preserve"> and is worth 100% of your module mark. </w:t>
      </w:r>
    </w:p>
    <w:p w14:paraId="01FA3710" w14:textId="77777777" w:rsidR="00C16F34" w:rsidRDefault="00C16F34">
      <w:pPr>
        <w:rPr>
          <w:rFonts w:ascii="Palatino Linotype" w:hAnsi="Palatino Linotype"/>
        </w:rPr>
      </w:pPr>
    </w:p>
    <w:p w14:paraId="771EFF75" w14:textId="77777777" w:rsidR="00C16F34" w:rsidRDefault="00C16F34">
      <w:pPr>
        <w:rPr>
          <w:rFonts w:ascii="Palatino Linotype" w:hAnsi="Palatino Linotype"/>
        </w:rPr>
      </w:pPr>
    </w:p>
    <w:p w14:paraId="7B3B1082" w14:textId="77777777" w:rsidR="00C16F34" w:rsidRDefault="00344A42">
      <w:pPr>
        <w:rPr>
          <w:rFonts w:ascii="Palatino Linotype" w:hAnsi="Palatino Linotype"/>
          <w:b/>
          <w:bCs/>
        </w:rPr>
      </w:pPr>
      <w:r>
        <w:rPr>
          <w:rFonts w:ascii="Palatino Linotype" w:hAnsi="Palatino Linotype"/>
          <w:b/>
          <w:bCs/>
        </w:rPr>
        <w:t>See from next page for a full list of topics and essential (and recommended further) reading for each week.</w:t>
      </w:r>
    </w:p>
    <w:p w14:paraId="23F53673" w14:textId="77777777" w:rsidR="00C16F34" w:rsidRDefault="00344A42">
      <w:pPr>
        <w:pStyle w:val="Heading1"/>
        <w:rPr>
          <w:rFonts w:ascii="Palatino Linotype" w:hAnsi="Palatino Linotype"/>
        </w:rPr>
      </w:pPr>
      <w:r>
        <w:rPr>
          <w:rFonts w:ascii="Palatino Linotype" w:hAnsi="Palatino Linotype"/>
        </w:rPr>
        <w:lastRenderedPageBreak/>
        <w:t>Reading and Topics Week by Week</w:t>
      </w:r>
    </w:p>
    <w:p w14:paraId="1136B0EC" w14:textId="77777777" w:rsidR="00C16F34" w:rsidRDefault="00344A42">
      <w:pPr>
        <w:rPr>
          <w:rFonts w:ascii="Palatino Linotype" w:hAnsi="Palatino Linotype"/>
        </w:rPr>
      </w:pPr>
      <w:r>
        <w:rPr>
          <w:rFonts w:ascii="Palatino Linotype" w:hAnsi="Palatino Linotype"/>
        </w:rPr>
        <w:t xml:space="preserve">Items preceded by an asterisk (*) are </w:t>
      </w:r>
      <w:r>
        <w:rPr>
          <w:rFonts w:ascii="Palatino Linotype" w:hAnsi="Palatino Linotype"/>
          <w:b/>
          <w:bCs/>
        </w:rPr>
        <w:t>essential</w:t>
      </w:r>
      <w:r>
        <w:rPr>
          <w:rFonts w:ascii="Palatino Linotype" w:hAnsi="Palatino Linotype"/>
        </w:rPr>
        <w:t>. All other items are recommended.</w:t>
      </w:r>
    </w:p>
    <w:p w14:paraId="7A2E0AB9" w14:textId="77777777" w:rsidR="00C16F34" w:rsidRDefault="00344A42">
      <w:pPr>
        <w:pStyle w:val="Heading2"/>
        <w:rPr>
          <w:rFonts w:ascii="Palatino Linotype" w:hAnsi="Palatino Linotype"/>
          <w:sz w:val="28"/>
          <w:szCs w:val="28"/>
        </w:rPr>
      </w:pPr>
      <w:r>
        <w:rPr>
          <w:rFonts w:ascii="Palatino Linotype" w:hAnsi="Palatino Linotype"/>
          <w:color w:val="002060"/>
          <w:sz w:val="28"/>
          <w:szCs w:val="28"/>
        </w:rPr>
        <w:t>Part 1: Anarchism</w:t>
      </w:r>
    </w:p>
    <w:p w14:paraId="535E55DD" w14:textId="77777777" w:rsidR="00C16F34" w:rsidRDefault="00344A42">
      <w:pPr>
        <w:pStyle w:val="Heading3"/>
        <w:rPr>
          <w:rFonts w:ascii="Palatino Linotype" w:hAnsi="Palatino Linotype"/>
        </w:rPr>
      </w:pPr>
      <w:r>
        <w:rPr>
          <w:rFonts w:ascii="Palatino Linotype" w:hAnsi="Palatino Linotype"/>
        </w:rPr>
        <w:t xml:space="preserve">Week 1: </w:t>
      </w:r>
    </w:p>
    <w:p w14:paraId="6510E676" w14:textId="77777777" w:rsidR="00C16F34" w:rsidRDefault="00344A42">
      <w:pPr>
        <w:pStyle w:val="Heading3"/>
        <w:rPr>
          <w:rFonts w:ascii="Palatino Linotype" w:hAnsi="Palatino Linotype"/>
        </w:rPr>
      </w:pPr>
      <w:r>
        <w:rPr>
          <w:rFonts w:ascii="Palatino Linotype" w:hAnsi="Palatino Linotype"/>
          <w:u w:val="single"/>
        </w:rPr>
        <w:t>Rationalist Utilitarian Anarchism</w:t>
      </w:r>
    </w:p>
    <w:p w14:paraId="54661B47" w14:textId="77777777" w:rsidR="00C16F34" w:rsidRDefault="00344A42">
      <w:pPr>
        <w:ind w:left="142" w:hanging="142"/>
        <w:rPr>
          <w:rFonts w:ascii="Palatino Linotype" w:hAnsi="Palatino Linotype"/>
        </w:rPr>
      </w:pPr>
      <w:r>
        <w:rPr>
          <w:rFonts w:ascii="Palatino Linotype" w:hAnsi="Palatino Linotype"/>
          <w:b/>
          <w:bCs/>
        </w:rPr>
        <w:t>*William Godwin</w:t>
      </w:r>
      <w:r>
        <w:rPr>
          <w:rFonts w:ascii="Palatino Linotype" w:hAnsi="Palatino Linotype"/>
        </w:rPr>
        <w:t xml:space="preserve">, [1793]. </w:t>
      </w:r>
      <w:r>
        <w:rPr>
          <w:rFonts w:ascii="Palatino Linotype" w:hAnsi="Palatino Linotype"/>
          <w:i/>
          <w:iCs/>
        </w:rPr>
        <w:t>An Enquiry Concerning Political Justice</w:t>
      </w:r>
      <w:r>
        <w:rPr>
          <w:rFonts w:ascii="Palatino Linotype" w:hAnsi="Palatino Linotype"/>
        </w:rPr>
        <w:t xml:space="preserve"> (1</w:t>
      </w:r>
      <w:r>
        <w:rPr>
          <w:rFonts w:ascii="Palatino Linotype" w:hAnsi="Palatino Linotype"/>
          <w:vertAlign w:val="superscript"/>
        </w:rPr>
        <w:t>st</w:t>
      </w:r>
      <w:r>
        <w:rPr>
          <w:rFonts w:ascii="Palatino Linotype" w:hAnsi="Palatino Linotype"/>
        </w:rPr>
        <w:t xml:space="preserve"> Edition), Book III Chapters 3–6. (A good print edition is (Oxford: OUP, 2013), but an </w:t>
      </w:r>
      <w:hyperlink r:id="rId8" w:history="1">
        <w:r w:rsidR="00C16F34">
          <w:rPr>
            <w:rStyle w:val="Hyperlink"/>
            <w:rFonts w:ascii="Palatino Linotype" w:hAnsi="Palatino Linotype"/>
          </w:rPr>
          <w:t xml:space="preserve">online edition available via the library is published by </w:t>
        </w:r>
        <w:proofErr w:type="spellStart"/>
        <w:r w:rsidR="00C16F34">
          <w:rPr>
            <w:rStyle w:val="Hyperlink"/>
            <w:rFonts w:ascii="Palatino Linotype" w:hAnsi="Palatino Linotype"/>
          </w:rPr>
          <w:t>Batoche</w:t>
        </w:r>
        <w:proofErr w:type="spellEnd"/>
        <w:r w:rsidR="00C16F34">
          <w:rPr>
            <w:rStyle w:val="Hyperlink"/>
            <w:rFonts w:ascii="Palatino Linotype" w:hAnsi="Palatino Linotype"/>
          </w:rPr>
          <w:t xml:space="preserve"> Books here.</w:t>
        </w:r>
      </w:hyperlink>
      <w:r>
        <w:rPr>
          <w:rFonts w:ascii="Palatino Linotype" w:hAnsi="Palatino Linotype"/>
        </w:rPr>
        <w:t>)</w:t>
      </w:r>
    </w:p>
    <w:p w14:paraId="6C314789" w14:textId="77777777" w:rsidR="00C16F34" w:rsidRDefault="00344A42">
      <w:pPr>
        <w:ind w:left="426"/>
        <w:rPr>
          <w:rFonts w:ascii="Palatino Linotype" w:hAnsi="Palatino Linotype"/>
          <w:sz w:val="18"/>
          <w:szCs w:val="18"/>
        </w:rPr>
      </w:pPr>
      <w:proofErr w:type="spellStart"/>
      <w:r>
        <w:rPr>
          <w:rFonts w:ascii="Palatino Linotype" w:hAnsi="Palatino Linotype"/>
          <w:sz w:val="18"/>
          <w:szCs w:val="18"/>
        </w:rPr>
        <w:t>Bk.III</w:t>
      </w:r>
      <w:proofErr w:type="spellEnd"/>
      <w:r>
        <w:rPr>
          <w:rFonts w:ascii="Palatino Linotype" w:hAnsi="Palatino Linotype"/>
          <w:sz w:val="18"/>
          <w:szCs w:val="18"/>
        </w:rPr>
        <w:t xml:space="preserve"> Ch.3 on promises sets the scene with a discussion of Godwin’s idea that there is nothing binding about promises, since what we ought to do we ought to do because of the intrinsic merits of those actions, to which promising adds nothing. Chs.4-6 apply this kind of reasoning to political authority and obligation. </w:t>
      </w:r>
    </w:p>
    <w:p w14:paraId="39923D51" w14:textId="77777777" w:rsidR="00C16F34" w:rsidRDefault="00344A42">
      <w:pPr>
        <w:ind w:left="142" w:hanging="142"/>
        <w:rPr>
          <w:rFonts w:ascii="Palatino Linotype" w:hAnsi="Palatino Linotype"/>
          <w:sz w:val="20"/>
          <w:szCs w:val="20"/>
        </w:rPr>
      </w:pPr>
      <w:r>
        <w:rPr>
          <w:rFonts w:ascii="Palatino Linotype" w:hAnsi="Palatino Linotype"/>
          <w:b/>
          <w:bCs/>
          <w:sz w:val="20"/>
          <w:szCs w:val="20"/>
        </w:rPr>
        <w:t>Anna Stilz</w:t>
      </w:r>
      <w:r>
        <w:rPr>
          <w:rFonts w:ascii="Palatino Linotype" w:hAnsi="Palatino Linotype"/>
          <w:sz w:val="20"/>
          <w:szCs w:val="20"/>
        </w:rPr>
        <w:t xml:space="preserve">, 2016. ‘Robert Paul Wolff, </w:t>
      </w:r>
      <w:r>
        <w:rPr>
          <w:rFonts w:ascii="Palatino Linotype" w:hAnsi="Palatino Linotype"/>
          <w:i/>
          <w:iCs/>
          <w:sz w:val="20"/>
          <w:szCs w:val="20"/>
        </w:rPr>
        <w:t>In Defence of Anarchism</w:t>
      </w:r>
      <w:r>
        <w:rPr>
          <w:rFonts w:ascii="Palatino Linotype" w:hAnsi="Palatino Linotype"/>
          <w:sz w:val="20"/>
          <w:szCs w:val="20"/>
        </w:rPr>
        <w:t xml:space="preserve">’ in Jacob T. Levy (ed.), </w:t>
      </w:r>
      <w:r>
        <w:rPr>
          <w:rFonts w:ascii="Palatino Linotype" w:hAnsi="Palatino Linotype"/>
          <w:i/>
          <w:iCs/>
          <w:sz w:val="20"/>
          <w:szCs w:val="20"/>
        </w:rPr>
        <w:t xml:space="preserve">The Oxford Handbook of Classics in Contemporary Political Theory </w:t>
      </w:r>
      <w:r>
        <w:rPr>
          <w:rFonts w:ascii="Palatino Linotype" w:hAnsi="Palatino Linotype"/>
          <w:sz w:val="20"/>
          <w:szCs w:val="20"/>
        </w:rPr>
        <w:t>(Oxford: OUP)</w:t>
      </w:r>
    </w:p>
    <w:p w14:paraId="3A4731A8" w14:textId="77777777" w:rsidR="00C16F34" w:rsidRDefault="00344A42">
      <w:pPr>
        <w:ind w:left="142" w:hanging="142"/>
        <w:rPr>
          <w:rFonts w:ascii="Palatino Linotype" w:hAnsi="Palatino Linotype"/>
          <w:sz w:val="20"/>
          <w:szCs w:val="20"/>
        </w:rPr>
      </w:pPr>
      <w:r>
        <w:rPr>
          <w:rFonts w:ascii="Palatino Linotype" w:hAnsi="Palatino Linotype"/>
          <w:b/>
          <w:bCs/>
          <w:sz w:val="20"/>
          <w:szCs w:val="20"/>
        </w:rPr>
        <w:t>Robert Paul Wolff</w:t>
      </w:r>
      <w:r>
        <w:rPr>
          <w:rFonts w:ascii="Palatino Linotype" w:hAnsi="Palatino Linotype"/>
          <w:sz w:val="20"/>
          <w:szCs w:val="20"/>
        </w:rPr>
        <w:t xml:space="preserve">, 1969. ‘On Violence’, </w:t>
      </w:r>
      <w:r>
        <w:rPr>
          <w:rFonts w:ascii="Palatino Linotype" w:hAnsi="Palatino Linotype"/>
          <w:i/>
          <w:iCs/>
          <w:sz w:val="20"/>
          <w:szCs w:val="20"/>
        </w:rPr>
        <w:t>Journal of Philosophy</w:t>
      </w:r>
      <w:r>
        <w:rPr>
          <w:rFonts w:ascii="Palatino Linotype" w:hAnsi="Palatino Linotype"/>
          <w:sz w:val="20"/>
          <w:szCs w:val="20"/>
        </w:rPr>
        <w:t xml:space="preserve"> 66, pp. 601–16 </w:t>
      </w:r>
    </w:p>
    <w:p w14:paraId="5848BCB7" w14:textId="77777777" w:rsidR="00C16F34" w:rsidRDefault="00344A42">
      <w:pPr>
        <w:ind w:left="142" w:hanging="142"/>
        <w:rPr>
          <w:rFonts w:ascii="Palatino Linotype" w:hAnsi="Palatino Linotype"/>
          <w:sz w:val="20"/>
          <w:szCs w:val="20"/>
        </w:rPr>
      </w:pPr>
      <w:r>
        <w:rPr>
          <w:rFonts w:ascii="Palatino Linotype" w:hAnsi="Palatino Linotype"/>
          <w:b/>
          <w:bCs/>
          <w:sz w:val="20"/>
          <w:szCs w:val="20"/>
        </w:rPr>
        <w:t>Rex Martin</w:t>
      </w:r>
      <w:r>
        <w:rPr>
          <w:rFonts w:ascii="Palatino Linotype" w:hAnsi="Palatino Linotype"/>
          <w:sz w:val="20"/>
          <w:szCs w:val="20"/>
        </w:rPr>
        <w:t xml:space="preserve">, 1974. ‘Wolff’s Defence of Philosophical Anarchism’, </w:t>
      </w:r>
      <w:r>
        <w:rPr>
          <w:rFonts w:ascii="Palatino Linotype" w:hAnsi="Palatino Linotype"/>
          <w:i/>
          <w:iCs/>
          <w:sz w:val="20"/>
          <w:szCs w:val="20"/>
        </w:rPr>
        <w:t>The Philosophical Quarterly</w:t>
      </w:r>
      <w:r>
        <w:rPr>
          <w:rFonts w:ascii="Palatino Linotype" w:hAnsi="Palatino Linotype"/>
          <w:sz w:val="20"/>
          <w:szCs w:val="20"/>
        </w:rPr>
        <w:t xml:space="preserve"> 24:95, pp. 140–9 </w:t>
      </w:r>
    </w:p>
    <w:p w14:paraId="797CABA4" w14:textId="77777777" w:rsidR="00C16F34" w:rsidRDefault="00344A42">
      <w:pPr>
        <w:ind w:left="142" w:hanging="142"/>
        <w:rPr>
          <w:rFonts w:ascii="Palatino Linotype" w:hAnsi="Palatino Linotype"/>
        </w:rPr>
      </w:pPr>
      <w:r>
        <w:rPr>
          <w:rFonts w:ascii="Palatino Linotype" w:hAnsi="Palatino Linotype"/>
          <w:b/>
          <w:bCs/>
          <w:sz w:val="20"/>
          <w:szCs w:val="20"/>
        </w:rPr>
        <w:t>Joseph Raz</w:t>
      </w:r>
      <w:r>
        <w:rPr>
          <w:rFonts w:ascii="Palatino Linotype" w:hAnsi="Palatino Linotype"/>
          <w:sz w:val="20"/>
          <w:szCs w:val="20"/>
        </w:rPr>
        <w:t xml:space="preserve">, []. </w:t>
      </w:r>
      <w:r>
        <w:rPr>
          <w:rFonts w:ascii="Palatino Linotype" w:hAnsi="Palatino Linotype" w:cs="Arial"/>
          <w:sz w:val="20"/>
          <w:szCs w:val="20"/>
        </w:rPr>
        <w:t xml:space="preserve">‘The Obligation to Obey the Law’ in </w:t>
      </w:r>
      <w:r>
        <w:rPr>
          <w:rFonts w:ascii="Palatino Linotype" w:hAnsi="Palatino Linotype" w:cs="Arial"/>
          <w:i/>
          <w:iCs/>
          <w:sz w:val="20"/>
          <w:szCs w:val="20"/>
        </w:rPr>
        <w:t>The Authority of Law: Essays on Law and Morality</w:t>
      </w:r>
      <w:r>
        <w:rPr>
          <w:rFonts w:ascii="Palatino Linotype" w:hAnsi="Palatino Linotype" w:cs="Arial"/>
          <w:sz w:val="20"/>
          <w:szCs w:val="20"/>
        </w:rPr>
        <w:t xml:space="preserve"> (2</w:t>
      </w:r>
      <w:r>
        <w:rPr>
          <w:rFonts w:ascii="Palatino Linotype" w:hAnsi="Palatino Linotype" w:cs="Arial"/>
          <w:sz w:val="20"/>
          <w:szCs w:val="20"/>
          <w:vertAlign w:val="superscript"/>
        </w:rPr>
        <w:t>nd</w:t>
      </w:r>
      <w:r>
        <w:rPr>
          <w:rFonts w:ascii="Palatino Linotype" w:hAnsi="Palatino Linotype" w:cs="Arial"/>
          <w:sz w:val="20"/>
          <w:szCs w:val="20"/>
        </w:rPr>
        <w:t xml:space="preserve"> Edition) (Oxford: OUP, 2009), pp. 233–49.</w:t>
      </w:r>
    </w:p>
    <w:p w14:paraId="3ED1B9C0" w14:textId="77777777" w:rsidR="00C16F34" w:rsidRDefault="00C16F34">
      <w:pPr>
        <w:rPr>
          <w:rFonts w:ascii="Palatino Linotype" w:hAnsi="Palatino Linotype"/>
          <w:b/>
          <w:bCs/>
        </w:rPr>
      </w:pPr>
    </w:p>
    <w:p w14:paraId="0ECFC84E" w14:textId="77777777" w:rsidR="00C16F34" w:rsidRDefault="00344A42">
      <w:pPr>
        <w:pStyle w:val="Heading3"/>
        <w:rPr>
          <w:rFonts w:ascii="Palatino Linotype" w:hAnsi="Palatino Linotype"/>
        </w:rPr>
      </w:pPr>
      <w:r>
        <w:rPr>
          <w:rFonts w:ascii="Palatino Linotype" w:hAnsi="Palatino Linotype"/>
        </w:rPr>
        <w:t>Week 2:</w:t>
      </w:r>
    </w:p>
    <w:p w14:paraId="54440BBC" w14:textId="77777777" w:rsidR="00C16F34" w:rsidRDefault="00344A42">
      <w:pPr>
        <w:pStyle w:val="Heading3"/>
        <w:rPr>
          <w:rFonts w:ascii="Palatino Linotype" w:hAnsi="Palatino Linotype"/>
          <w:u w:val="single"/>
        </w:rPr>
      </w:pPr>
      <w:r>
        <w:rPr>
          <w:rFonts w:ascii="Palatino Linotype" w:hAnsi="Palatino Linotype"/>
          <w:u w:val="single"/>
        </w:rPr>
        <w:t xml:space="preserve">Individualistic Associationism </w:t>
      </w:r>
    </w:p>
    <w:p w14:paraId="51831C5D" w14:textId="77777777" w:rsidR="00C16F34" w:rsidRDefault="00344A42">
      <w:pPr>
        <w:ind w:left="142" w:hanging="142"/>
        <w:rPr>
          <w:rFonts w:ascii="Palatino Linotype" w:hAnsi="Palatino Linotype"/>
        </w:rPr>
      </w:pPr>
      <w:r>
        <w:rPr>
          <w:rFonts w:ascii="Palatino Linotype" w:hAnsi="Palatino Linotype"/>
          <w:b/>
          <w:bCs/>
        </w:rPr>
        <w:t>*Pierre-Joseph Proudhon</w:t>
      </w:r>
      <w:r>
        <w:rPr>
          <w:rFonts w:ascii="Palatino Linotype" w:hAnsi="Palatino Linotype"/>
        </w:rPr>
        <w:t xml:space="preserve">, [1851]. ‘The Authority Principle’ in Daniel Guérin (ed.) </w:t>
      </w:r>
      <w:r>
        <w:rPr>
          <w:rFonts w:ascii="Palatino Linotype" w:hAnsi="Palatino Linotype"/>
          <w:i/>
          <w:iCs/>
        </w:rPr>
        <w:t>No Gods, No Masters: Book 1</w:t>
      </w:r>
      <w:r>
        <w:rPr>
          <w:rFonts w:ascii="Palatino Linotype" w:hAnsi="Palatino Linotype"/>
        </w:rPr>
        <w:t xml:space="preserve"> (Edinburgh: AK Press, 1998)</w:t>
      </w:r>
    </w:p>
    <w:p w14:paraId="2DE3F94C" w14:textId="77777777" w:rsidR="00C16F34" w:rsidRDefault="00344A42">
      <w:pPr>
        <w:ind w:left="426"/>
        <w:rPr>
          <w:rFonts w:ascii="Palatino Linotype" w:hAnsi="Palatino Linotype"/>
          <w:sz w:val="20"/>
          <w:szCs w:val="20"/>
        </w:rPr>
      </w:pPr>
      <w:r>
        <w:rPr>
          <w:rFonts w:ascii="Palatino Linotype" w:hAnsi="Palatino Linotype"/>
          <w:sz w:val="20"/>
          <w:szCs w:val="20"/>
        </w:rPr>
        <w:t xml:space="preserve">This </w:t>
      </w:r>
      <w:proofErr w:type="gramStart"/>
      <w:r>
        <w:rPr>
          <w:rFonts w:ascii="Palatino Linotype" w:hAnsi="Palatino Linotype"/>
          <w:sz w:val="20"/>
          <w:szCs w:val="20"/>
        </w:rPr>
        <w:t>is extracts</w:t>
      </w:r>
      <w:proofErr w:type="gramEnd"/>
      <w:r>
        <w:rPr>
          <w:rFonts w:ascii="Palatino Linotype" w:hAnsi="Palatino Linotype"/>
          <w:sz w:val="20"/>
          <w:szCs w:val="20"/>
        </w:rPr>
        <w:t xml:space="preserve"> from </w:t>
      </w:r>
      <w:r>
        <w:rPr>
          <w:rFonts w:ascii="Palatino Linotype" w:hAnsi="Palatino Linotype"/>
          <w:i/>
          <w:iCs/>
          <w:sz w:val="20"/>
          <w:szCs w:val="20"/>
        </w:rPr>
        <w:t xml:space="preserve">Idée Generale de la </w:t>
      </w:r>
      <w:proofErr w:type="spellStart"/>
      <w:r>
        <w:rPr>
          <w:rFonts w:ascii="Palatino Linotype" w:hAnsi="Palatino Linotype"/>
          <w:i/>
          <w:iCs/>
          <w:sz w:val="20"/>
          <w:szCs w:val="20"/>
        </w:rPr>
        <w:t>Révolution</w:t>
      </w:r>
      <w:proofErr w:type="spellEnd"/>
      <w:r>
        <w:rPr>
          <w:rFonts w:ascii="Palatino Linotype" w:hAnsi="Palatino Linotype"/>
          <w:i/>
          <w:iCs/>
          <w:sz w:val="20"/>
          <w:szCs w:val="20"/>
        </w:rPr>
        <w:t xml:space="preserve"> au </w:t>
      </w:r>
      <w:proofErr w:type="spellStart"/>
      <w:r>
        <w:rPr>
          <w:rFonts w:ascii="Palatino Linotype" w:hAnsi="Palatino Linotype"/>
          <w:i/>
          <w:iCs/>
          <w:sz w:val="20"/>
          <w:szCs w:val="20"/>
        </w:rPr>
        <w:t>XXe</w:t>
      </w:r>
      <w:proofErr w:type="spellEnd"/>
      <w:r>
        <w:rPr>
          <w:rFonts w:ascii="Palatino Linotype" w:hAnsi="Palatino Linotype"/>
          <w:i/>
          <w:iCs/>
          <w:sz w:val="20"/>
          <w:szCs w:val="20"/>
        </w:rPr>
        <w:t xml:space="preserve"> </w:t>
      </w:r>
      <w:proofErr w:type="spellStart"/>
      <w:r>
        <w:rPr>
          <w:rFonts w:ascii="Palatino Linotype" w:hAnsi="Palatino Linotype"/>
          <w:i/>
          <w:iCs/>
          <w:sz w:val="20"/>
          <w:szCs w:val="20"/>
        </w:rPr>
        <w:t>Siécle</w:t>
      </w:r>
      <w:proofErr w:type="spellEnd"/>
      <w:r>
        <w:rPr>
          <w:rFonts w:ascii="Palatino Linotype" w:hAnsi="Palatino Linotype"/>
          <w:sz w:val="20"/>
          <w:szCs w:val="20"/>
        </w:rPr>
        <w:t xml:space="preserve"> [</w:t>
      </w:r>
      <w:r>
        <w:rPr>
          <w:rFonts w:ascii="Palatino Linotype" w:hAnsi="Palatino Linotype"/>
          <w:i/>
          <w:iCs/>
          <w:sz w:val="20"/>
          <w:szCs w:val="20"/>
        </w:rPr>
        <w:t>General Idea of the Revolution in the 20</w:t>
      </w:r>
      <w:r>
        <w:rPr>
          <w:rFonts w:ascii="Palatino Linotype" w:hAnsi="Palatino Linotype"/>
          <w:i/>
          <w:iCs/>
          <w:sz w:val="20"/>
          <w:szCs w:val="20"/>
          <w:vertAlign w:val="superscript"/>
        </w:rPr>
        <w:t>th</w:t>
      </w:r>
      <w:r>
        <w:rPr>
          <w:rFonts w:ascii="Palatino Linotype" w:hAnsi="Palatino Linotype"/>
          <w:i/>
          <w:iCs/>
          <w:sz w:val="20"/>
          <w:szCs w:val="20"/>
        </w:rPr>
        <w:t xml:space="preserve"> Century</w:t>
      </w:r>
      <w:r>
        <w:rPr>
          <w:rFonts w:ascii="Palatino Linotype" w:hAnsi="Palatino Linotype"/>
          <w:sz w:val="20"/>
          <w:szCs w:val="20"/>
        </w:rPr>
        <w:t xml:space="preserve">]. It argues for the importance of </w:t>
      </w:r>
      <w:r>
        <w:rPr>
          <w:rFonts w:ascii="Palatino Linotype" w:hAnsi="Palatino Linotype"/>
          <w:i/>
          <w:iCs/>
          <w:sz w:val="20"/>
          <w:szCs w:val="20"/>
        </w:rPr>
        <w:t>contract</w:t>
      </w:r>
      <w:r>
        <w:rPr>
          <w:rFonts w:ascii="Palatino Linotype" w:hAnsi="Palatino Linotype"/>
          <w:sz w:val="20"/>
          <w:szCs w:val="20"/>
        </w:rPr>
        <w:t xml:space="preserve"> between citizens, and the inability of any kind of political </w:t>
      </w:r>
      <w:r>
        <w:rPr>
          <w:rFonts w:ascii="Palatino Linotype" w:hAnsi="Palatino Linotype"/>
          <w:i/>
          <w:iCs/>
          <w:sz w:val="20"/>
          <w:szCs w:val="20"/>
        </w:rPr>
        <w:t>authority</w:t>
      </w:r>
      <w:r>
        <w:rPr>
          <w:rFonts w:ascii="Palatino Linotype" w:hAnsi="Palatino Linotype"/>
          <w:sz w:val="20"/>
          <w:szCs w:val="20"/>
        </w:rPr>
        <w:t xml:space="preserve"> to respect the importance of contract. It also raises concerns about the abuse and inefficacy of political </w:t>
      </w:r>
      <w:proofErr w:type="gramStart"/>
      <w:r>
        <w:rPr>
          <w:rFonts w:ascii="Palatino Linotype" w:hAnsi="Palatino Linotype"/>
          <w:sz w:val="20"/>
          <w:szCs w:val="20"/>
        </w:rPr>
        <w:t>power, and</w:t>
      </w:r>
      <w:proofErr w:type="gramEnd"/>
      <w:r>
        <w:rPr>
          <w:rFonts w:ascii="Palatino Linotype" w:hAnsi="Palatino Linotype"/>
          <w:sz w:val="20"/>
          <w:szCs w:val="20"/>
        </w:rPr>
        <w:t xml:space="preserve"> argues that the principle of complete direct democracy dissolves the distinction between rulers and ruled which the notion of power or authority rests upon.</w:t>
      </w:r>
    </w:p>
    <w:p w14:paraId="1DDFA676" w14:textId="77777777" w:rsidR="00C16F34" w:rsidRDefault="00344A42">
      <w:pPr>
        <w:ind w:left="142" w:hanging="142"/>
        <w:rPr>
          <w:rFonts w:ascii="Palatino Linotype" w:hAnsi="Palatino Linotype"/>
        </w:rPr>
      </w:pPr>
      <w:r>
        <w:rPr>
          <w:rFonts w:ascii="Palatino Linotype" w:hAnsi="Palatino Linotype"/>
          <w:b/>
          <w:bCs/>
        </w:rPr>
        <w:t>*</w:t>
      </w:r>
      <w:proofErr w:type="spellStart"/>
      <w:r>
        <w:rPr>
          <w:rFonts w:ascii="Palatino Linotype" w:hAnsi="Palatino Linotype"/>
          <w:b/>
          <w:bCs/>
        </w:rPr>
        <w:t>Voltairine</w:t>
      </w:r>
      <w:proofErr w:type="spellEnd"/>
      <w:r>
        <w:rPr>
          <w:rFonts w:ascii="Palatino Linotype" w:hAnsi="Palatino Linotype"/>
          <w:b/>
          <w:bCs/>
        </w:rPr>
        <w:t xml:space="preserve"> de Cleyre</w:t>
      </w:r>
      <w:r>
        <w:rPr>
          <w:rFonts w:ascii="Palatino Linotype" w:hAnsi="Palatino Linotype"/>
        </w:rPr>
        <w:t xml:space="preserve">, [1901]. ‘Anarchism’, in </w:t>
      </w:r>
      <w:r>
        <w:rPr>
          <w:rFonts w:ascii="Palatino Linotype" w:hAnsi="Palatino Linotype"/>
          <w:i/>
          <w:iCs/>
        </w:rPr>
        <w:t>Exquisite Rebel: The Essays of </w:t>
      </w:r>
      <w:proofErr w:type="spellStart"/>
      <w:r>
        <w:rPr>
          <w:rFonts w:ascii="Palatino Linotype" w:hAnsi="Palatino Linotype"/>
          <w:i/>
          <w:iCs/>
        </w:rPr>
        <w:t>Voltairine</w:t>
      </w:r>
      <w:proofErr w:type="spellEnd"/>
      <w:r>
        <w:rPr>
          <w:rFonts w:ascii="Palatino Linotype" w:hAnsi="Palatino Linotype"/>
          <w:i/>
          <w:iCs/>
        </w:rPr>
        <w:t xml:space="preserve"> de Cleyre – Feminist, Anarchist, Genius</w:t>
      </w:r>
      <w:r>
        <w:rPr>
          <w:rFonts w:ascii="Palatino Linotype" w:hAnsi="Palatino Linotype"/>
        </w:rPr>
        <w:t xml:space="preserve"> (New York: State University of New York Press, 2005), pp. 69–82</w:t>
      </w:r>
    </w:p>
    <w:p w14:paraId="2801CC25" w14:textId="77777777" w:rsidR="00C16F34" w:rsidRDefault="00344A42">
      <w:pPr>
        <w:ind w:left="142" w:hanging="142"/>
        <w:rPr>
          <w:rFonts w:ascii="Palatino Linotype" w:hAnsi="Palatino Linotype"/>
          <w:sz w:val="20"/>
          <w:szCs w:val="20"/>
        </w:rPr>
      </w:pPr>
      <w:r>
        <w:rPr>
          <w:rFonts w:ascii="Palatino Linotype" w:hAnsi="Palatino Linotype"/>
          <w:b/>
          <w:bCs/>
          <w:sz w:val="20"/>
          <w:szCs w:val="20"/>
        </w:rPr>
        <w:t>__________________</w:t>
      </w:r>
      <w:r>
        <w:rPr>
          <w:rFonts w:ascii="Palatino Linotype" w:hAnsi="Palatino Linotype"/>
          <w:sz w:val="20"/>
          <w:szCs w:val="20"/>
        </w:rPr>
        <w:t xml:space="preserve">, [1910] ‘The Dominant Idea’ in </w:t>
      </w:r>
      <w:r>
        <w:rPr>
          <w:rFonts w:ascii="Palatino Linotype" w:hAnsi="Palatino Linotype"/>
          <w:i/>
          <w:iCs/>
          <w:sz w:val="20"/>
          <w:szCs w:val="20"/>
        </w:rPr>
        <w:t>Exquisite Rebel: The Essays of </w:t>
      </w:r>
      <w:proofErr w:type="spellStart"/>
      <w:r>
        <w:rPr>
          <w:rFonts w:ascii="Palatino Linotype" w:hAnsi="Palatino Linotype"/>
          <w:i/>
          <w:iCs/>
          <w:sz w:val="20"/>
          <w:szCs w:val="20"/>
        </w:rPr>
        <w:t>Voltairine</w:t>
      </w:r>
      <w:proofErr w:type="spellEnd"/>
      <w:r>
        <w:rPr>
          <w:rFonts w:ascii="Palatino Linotype" w:hAnsi="Palatino Linotype"/>
          <w:i/>
          <w:iCs/>
          <w:sz w:val="20"/>
          <w:szCs w:val="20"/>
        </w:rPr>
        <w:t xml:space="preserve"> de Cleyre – Feminist, Anarchist, Genius</w:t>
      </w:r>
      <w:r>
        <w:rPr>
          <w:rFonts w:ascii="Palatino Linotype" w:hAnsi="Palatino Linotype"/>
          <w:sz w:val="20"/>
          <w:szCs w:val="20"/>
        </w:rPr>
        <w:t xml:space="preserve"> (New York: State University of New York Press, 2005)</w:t>
      </w:r>
    </w:p>
    <w:p w14:paraId="680161A9" w14:textId="77777777" w:rsidR="00C16F34" w:rsidRDefault="00344A42">
      <w:pPr>
        <w:ind w:left="567"/>
        <w:rPr>
          <w:rFonts w:ascii="Palatino Linotype" w:hAnsi="Palatino Linotype"/>
          <w:sz w:val="18"/>
          <w:szCs w:val="18"/>
        </w:rPr>
      </w:pPr>
      <w:r>
        <w:rPr>
          <w:rFonts w:ascii="Palatino Linotype" w:hAnsi="Palatino Linotype"/>
          <w:sz w:val="18"/>
          <w:szCs w:val="18"/>
        </w:rPr>
        <w:t xml:space="preserve">This essay – which is a defence of free will and the importance of ideals (relevant to the topic of Week 10, below) – argues against the ‘materialist’ idea that circumstances (completely) determine individual choice and action, and criticises the hypocrisy of social reformers who profess resistance to the acquisitive ‘dominant idea’ of the time but in fact fall into line with it. </w:t>
      </w:r>
    </w:p>
    <w:p w14:paraId="180C6F68" w14:textId="77777777" w:rsidR="00C16F34" w:rsidRDefault="00344A42">
      <w:pPr>
        <w:ind w:left="142" w:hanging="142"/>
        <w:rPr>
          <w:rFonts w:ascii="Palatino Linotype" w:hAnsi="Palatino Linotype"/>
          <w:sz w:val="20"/>
          <w:szCs w:val="20"/>
        </w:rPr>
      </w:pPr>
      <w:r>
        <w:rPr>
          <w:rFonts w:ascii="Palatino Linotype" w:hAnsi="Palatino Linotype"/>
          <w:b/>
          <w:bCs/>
          <w:sz w:val="20"/>
          <w:szCs w:val="20"/>
        </w:rPr>
        <w:t>__________________</w:t>
      </w:r>
      <w:r>
        <w:rPr>
          <w:rFonts w:ascii="Palatino Linotype" w:hAnsi="Palatino Linotype"/>
          <w:sz w:val="20"/>
          <w:szCs w:val="20"/>
        </w:rPr>
        <w:t xml:space="preserve">, [1893] ‘In Defence of Emma Goldman and the Right of </w:t>
      </w:r>
      <w:proofErr w:type="spellStart"/>
      <w:proofErr w:type="gramStart"/>
      <w:r>
        <w:rPr>
          <w:rFonts w:ascii="Palatino Linotype" w:hAnsi="Palatino Linotype"/>
          <w:sz w:val="20"/>
          <w:szCs w:val="20"/>
        </w:rPr>
        <w:t>Expropriation‘</w:t>
      </w:r>
      <w:proofErr w:type="gramEnd"/>
      <w:r>
        <w:rPr>
          <w:rFonts w:ascii="Palatino Linotype" w:hAnsi="Palatino Linotype"/>
          <w:sz w:val="20"/>
          <w:szCs w:val="20"/>
        </w:rPr>
        <w:t>in</w:t>
      </w:r>
      <w:proofErr w:type="spellEnd"/>
      <w:r>
        <w:rPr>
          <w:rFonts w:ascii="Palatino Linotype" w:hAnsi="Palatino Linotype"/>
          <w:i/>
          <w:iCs/>
          <w:sz w:val="20"/>
          <w:szCs w:val="20"/>
        </w:rPr>
        <w:t xml:space="preserve"> Exquisite Rebel: The Essays of </w:t>
      </w:r>
      <w:proofErr w:type="spellStart"/>
      <w:r>
        <w:rPr>
          <w:rFonts w:ascii="Palatino Linotype" w:hAnsi="Palatino Linotype"/>
          <w:i/>
          <w:iCs/>
          <w:sz w:val="20"/>
          <w:szCs w:val="20"/>
        </w:rPr>
        <w:t>Voltairine</w:t>
      </w:r>
      <w:proofErr w:type="spellEnd"/>
      <w:r>
        <w:rPr>
          <w:rFonts w:ascii="Palatino Linotype" w:hAnsi="Palatino Linotype"/>
          <w:i/>
          <w:iCs/>
          <w:sz w:val="20"/>
          <w:szCs w:val="20"/>
        </w:rPr>
        <w:t xml:space="preserve"> de Cleyre – Feminist, Anarchist, Genius</w:t>
      </w:r>
      <w:r>
        <w:rPr>
          <w:rFonts w:ascii="Palatino Linotype" w:hAnsi="Palatino Linotype"/>
          <w:sz w:val="20"/>
          <w:szCs w:val="20"/>
        </w:rPr>
        <w:t>, esp. pp. 156f.</w:t>
      </w:r>
    </w:p>
    <w:p w14:paraId="301AA88C" w14:textId="77777777" w:rsidR="00C16F34" w:rsidRDefault="00344A42">
      <w:pPr>
        <w:ind w:left="567"/>
        <w:rPr>
          <w:rFonts w:ascii="Palatino Linotype" w:hAnsi="Palatino Linotype"/>
          <w:sz w:val="18"/>
          <w:szCs w:val="18"/>
        </w:rPr>
      </w:pPr>
      <w:r>
        <w:rPr>
          <w:rFonts w:ascii="Palatino Linotype" w:hAnsi="Palatino Linotype"/>
          <w:sz w:val="18"/>
          <w:szCs w:val="18"/>
        </w:rPr>
        <w:t xml:space="preserve">This essay discusses the ‘right of expropriation’ – a doctrine maintaining that those in need have an ownership claim over what they desperately need, associated also with Goldman, Kropotkin and other socialist anarchists, and discussed in the early medieval period as the ‘right of necessity’ (also in Fichte’s </w:t>
      </w:r>
      <w:r>
        <w:rPr>
          <w:rFonts w:ascii="Palatino Linotype" w:hAnsi="Palatino Linotype"/>
          <w:i/>
          <w:iCs/>
          <w:sz w:val="18"/>
          <w:szCs w:val="18"/>
        </w:rPr>
        <w:t>Foundations of Natural Right</w:t>
      </w:r>
      <w:r>
        <w:rPr>
          <w:rFonts w:ascii="Palatino Linotype" w:hAnsi="Palatino Linotype"/>
          <w:sz w:val="18"/>
          <w:szCs w:val="18"/>
        </w:rPr>
        <w:t xml:space="preserve">, I think) – but is interesting for our purposes because in it de Cleyre states that she is an </w:t>
      </w:r>
      <w:r>
        <w:rPr>
          <w:rFonts w:ascii="Palatino Linotype" w:hAnsi="Palatino Linotype"/>
          <w:i/>
          <w:iCs/>
          <w:sz w:val="18"/>
          <w:szCs w:val="18"/>
        </w:rPr>
        <w:t xml:space="preserve">individualist rather than a communist </w:t>
      </w:r>
      <w:r>
        <w:rPr>
          <w:rFonts w:ascii="Palatino Linotype" w:hAnsi="Palatino Linotype"/>
          <w:sz w:val="18"/>
          <w:szCs w:val="18"/>
        </w:rPr>
        <w:t xml:space="preserve">(distinguishing herself from Goldman in this respect – for an even more explicit statement of this point, see ‘A Correction’ [1907], also in </w:t>
      </w:r>
      <w:r>
        <w:rPr>
          <w:rFonts w:ascii="Palatino Linotype" w:hAnsi="Palatino Linotype"/>
          <w:i/>
          <w:iCs/>
          <w:sz w:val="18"/>
          <w:szCs w:val="18"/>
        </w:rPr>
        <w:t>Exquisite Rebel</w:t>
      </w:r>
      <w:r>
        <w:rPr>
          <w:rFonts w:ascii="Palatino Linotype" w:hAnsi="Palatino Linotype"/>
          <w:sz w:val="18"/>
          <w:szCs w:val="18"/>
        </w:rPr>
        <w:t xml:space="preserve">), and endorses what seems to be a sort of individualist moral relativism which she associates with her anarchism. </w:t>
      </w:r>
    </w:p>
    <w:p w14:paraId="09C0CC71" w14:textId="77777777" w:rsidR="00C16F34" w:rsidRDefault="00344A42">
      <w:pPr>
        <w:ind w:left="142" w:hanging="142"/>
        <w:rPr>
          <w:rFonts w:ascii="Palatino Linotype" w:hAnsi="Palatino Linotype"/>
          <w:color w:val="000000" w:themeColor="text1"/>
        </w:rPr>
      </w:pPr>
      <w:r>
        <w:rPr>
          <w:rFonts w:ascii="Palatino Linotype" w:hAnsi="Palatino Linotype"/>
          <w:b/>
          <w:bCs/>
          <w:color w:val="000000" w:themeColor="text1"/>
          <w:sz w:val="20"/>
          <w:szCs w:val="20"/>
        </w:rPr>
        <w:lastRenderedPageBreak/>
        <w:t>Ruth Kinna &amp; Alex Prichard</w:t>
      </w:r>
      <w:r>
        <w:rPr>
          <w:rFonts w:ascii="Palatino Linotype" w:hAnsi="Palatino Linotype"/>
          <w:color w:val="000000" w:themeColor="text1"/>
          <w:sz w:val="20"/>
          <w:szCs w:val="20"/>
        </w:rPr>
        <w:t xml:space="preserve">, ‘Anarchism and Non-Domination’, </w:t>
      </w:r>
      <w:r>
        <w:rPr>
          <w:rFonts w:ascii="Palatino Linotype" w:hAnsi="Palatino Linotype"/>
          <w:i/>
          <w:iCs/>
          <w:color w:val="000000" w:themeColor="text1"/>
          <w:sz w:val="20"/>
          <w:szCs w:val="20"/>
        </w:rPr>
        <w:t xml:space="preserve">Journal of Political Ideologies </w:t>
      </w:r>
      <w:r>
        <w:rPr>
          <w:rFonts w:ascii="Palatino Linotype" w:hAnsi="Palatino Linotype"/>
          <w:color w:val="000000" w:themeColor="text1"/>
          <w:sz w:val="20"/>
          <w:szCs w:val="20"/>
        </w:rPr>
        <w:t xml:space="preserve">24:3, pp. 221–40 </w:t>
      </w:r>
    </w:p>
    <w:p w14:paraId="446FCCC3" w14:textId="77777777" w:rsidR="00C16F34" w:rsidRDefault="00C16F34">
      <w:pPr>
        <w:rPr>
          <w:rFonts w:ascii="Palatino Linotype" w:hAnsi="Palatino Linotype"/>
        </w:rPr>
      </w:pPr>
    </w:p>
    <w:p w14:paraId="100F3A25" w14:textId="77777777" w:rsidR="00C16F34" w:rsidRDefault="00344A42">
      <w:pPr>
        <w:pStyle w:val="Heading3"/>
        <w:rPr>
          <w:rFonts w:ascii="Palatino Linotype" w:hAnsi="Palatino Linotype"/>
        </w:rPr>
      </w:pPr>
      <w:r>
        <w:rPr>
          <w:rFonts w:ascii="Palatino Linotype" w:hAnsi="Palatino Linotype"/>
        </w:rPr>
        <w:t>Week 3:</w:t>
      </w:r>
    </w:p>
    <w:p w14:paraId="33366719" w14:textId="77777777" w:rsidR="00C16F34" w:rsidRDefault="00344A42">
      <w:pPr>
        <w:pStyle w:val="Heading3"/>
        <w:rPr>
          <w:rFonts w:ascii="Palatino Linotype" w:hAnsi="Palatino Linotype"/>
        </w:rPr>
      </w:pPr>
      <w:r>
        <w:rPr>
          <w:rFonts w:ascii="Palatino Linotype" w:hAnsi="Palatino Linotype"/>
          <w:u w:val="single"/>
        </w:rPr>
        <w:t>Socialist Anarchism</w:t>
      </w:r>
    </w:p>
    <w:p w14:paraId="491DF2C3" w14:textId="77777777" w:rsidR="00C16F34" w:rsidRDefault="00344A42">
      <w:pPr>
        <w:ind w:left="142" w:hanging="142"/>
        <w:rPr>
          <w:rFonts w:ascii="Palatino Linotype" w:hAnsi="Palatino Linotype"/>
          <w:b/>
          <w:bCs/>
        </w:rPr>
      </w:pPr>
      <w:r>
        <w:rPr>
          <w:rFonts w:ascii="Palatino Linotype" w:hAnsi="Palatino Linotype"/>
          <w:b/>
          <w:bCs/>
        </w:rPr>
        <w:t>*Michel Bakunin</w:t>
      </w:r>
      <w:r>
        <w:rPr>
          <w:rFonts w:ascii="Palatino Linotype" w:hAnsi="Palatino Linotype"/>
        </w:rPr>
        <w:t xml:space="preserve">, [1871]. Selections from </w:t>
      </w:r>
      <w:r>
        <w:rPr>
          <w:rFonts w:ascii="Palatino Linotype" w:hAnsi="Palatino Linotype"/>
          <w:i/>
          <w:iCs/>
        </w:rPr>
        <w:t xml:space="preserve">God and the State </w:t>
      </w:r>
      <w:r>
        <w:rPr>
          <w:rFonts w:ascii="Palatino Linotype" w:hAnsi="Palatino Linotype"/>
        </w:rPr>
        <w:t xml:space="preserve">in Sam Dolgoff (trans &amp; ed.), </w:t>
      </w:r>
      <w:r>
        <w:rPr>
          <w:rFonts w:ascii="Palatino Linotype" w:hAnsi="Palatino Linotype"/>
          <w:i/>
          <w:iCs/>
        </w:rPr>
        <w:t>Selected Works by the Activist-Founder of World Anarchism</w:t>
      </w:r>
      <w:r>
        <w:rPr>
          <w:rFonts w:ascii="Palatino Linotype" w:hAnsi="Palatino Linotype"/>
        </w:rPr>
        <w:t xml:space="preserve"> (London: George Allen &amp; Unwin Ltd., 1971), pp. 225–242</w:t>
      </w:r>
    </w:p>
    <w:p w14:paraId="1CF70406" w14:textId="77777777" w:rsidR="00C16F34" w:rsidRDefault="00344A42">
      <w:pPr>
        <w:ind w:left="142" w:hanging="142"/>
        <w:rPr>
          <w:rFonts w:ascii="Palatino Linotype" w:hAnsi="Palatino Linotype"/>
        </w:rPr>
      </w:pPr>
      <w:r>
        <w:rPr>
          <w:rFonts w:ascii="Palatino Linotype" w:hAnsi="Palatino Linotype"/>
          <w:b/>
          <w:bCs/>
        </w:rPr>
        <w:t>*Ruth Kinna</w:t>
      </w:r>
      <w:r>
        <w:rPr>
          <w:rFonts w:ascii="Palatino Linotype" w:hAnsi="Palatino Linotype"/>
        </w:rPr>
        <w:t xml:space="preserve">, 1995. </w:t>
      </w:r>
      <w:hyperlink r:id="rId9" w:history="1">
        <w:r w:rsidR="00C16F34">
          <w:rPr>
            <w:rStyle w:val="Hyperlink"/>
            <w:rFonts w:ascii="Palatino Linotype" w:hAnsi="Palatino Linotype"/>
            <w:color w:val="000000" w:themeColor="text1"/>
            <w:u w:val="none"/>
          </w:rPr>
          <w:t>‘Kropotkin’s Theory of Mutual Aid in Historical Context’</w:t>
        </w:r>
      </w:hyperlink>
      <w:r>
        <w:rPr>
          <w:rFonts w:ascii="Palatino Linotype" w:hAnsi="Palatino Linotype"/>
          <w:color w:val="000000" w:themeColor="text1"/>
        </w:rPr>
        <w:t xml:space="preserve">, </w:t>
      </w:r>
      <w:r>
        <w:rPr>
          <w:rFonts w:ascii="Palatino Linotype" w:hAnsi="Palatino Linotype"/>
          <w:i/>
          <w:iCs/>
          <w:color w:val="000000" w:themeColor="text1"/>
        </w:rPr>
        <w:t>International Review of Social H</w:t>
      </w:r>
      <w:r>
        <w:rPr>
          <w:rFonts w:ascii="Palatino Linotype" w:hAnsi="Palatino Linotype"/>
          <w:i/>
          <w:iCs/>
        </w:rPr>
        <w:t xml:space="preserve">istory </w:t>
      </w:r>
      <w:r>
        <w:rPr>
          <w:rFonts w:ascii="Palatino Linotype" w:hAnsi="Palatino Linotype"/>
        </w:rPr>
        <w:t xml:space="preserve">40, pp. 259–83. </w:t>
      </w:r>
    </w:p>
    <w:p w14:paraId="4B622435" w14:textId="77777777" w:rsidR="00C16F34" w:rsidRDefault="00344A42">
      <w:pPr>
        <w:ind w:left="426"/>
        <w:rPr>
          <w:rFonts w:ascii="Palatino Linotype" w:hAnsi="Palatino Linotype"/>
          <w:sz w:val="18"/>
          <w:szCs w:val="18"/>
        </w:rPr>
      </w:pPr>
      <w:r>
        <w:rPr>
          <w:rFonts w:ascii="Palatino Linotype" w:hAnsi="Palatino Linotype"/>
          <w:sz w:val="18"/>
          <w:szCs w:val="18"/>
        </w:rPr>
        <w:t xml:space="preserve">This discusses the relation between Kropotkin’s ideas about altruism in nature and his political ideology. There is also a useful summary of Kropotkin’s objections to Marxism. </w:t>
      </w:r>
    </w:p>
    <w:p w14:paraId="0F13F0C8" w14:textId="77777777" w:rsidR="00C16F34" w:rsidRDefault="00344A42">
      <w:pPr>
        <w:ind w:left="142" w:hanging="142"/>
        <w:rPr>
          <w:rFonts w:ascii="Palatino Linotype" w:hAnsi="Palatino Linotype"/>
          <w:sz w:val="20"/>
          <w:szCs w:val="20"/>
        </w:rPr>
      </w:pPr>
      <w:r>
        <w:rPr>
          <w:rFonts w:ascii="Palatino Linotype" w:hAnsi="Palatino Linotype"/>
          <w:b/>
          <w:bCs/>
          <w:sz w:val="20"/>
          <w:szCs w:val="20"/>
        </w:rPr>
        <w:t xml:space="preserve">Petr Kropotkin </w:t>
      </w:r>
      <w:r>
        <w:rPr>
          <w:rFonts w:ascii="Palatino Linotype" w:hAnsi="Palatino Linotype"/>
          <w:sz w:val="20"/>
          <w:szCs w:val="20"/>
        </w:rPr>
        <w:t xml:space="preserve">[1913], </w:t>
      </w:r>
      <w:r>
        <w:rPr>
          <w:rFonts w:ascii="Palatino Linotype" w:hAnsi="Palatino Linotype"/>
          <w:i/>
          <w:iCs/>
          <w:sz w:val="20"/>
          <w:szCs w:val="20"/>
        </w:rPr>
        <w:t>The Conquest of Bread</w:t>
      </w:r>
      <w:r>
        <w:rPr>
          <w:rFonts w:ascii="Palatino Linotype" w:hAnsi="Palatino Linotype"/>
          <w:sz w:val="20"/>
          <w:szCs w:val="20"/>
        </w:rPr>
        <w:t xml:space="preserve"> (Cambridge: CUP, 1995), Chapter 4. (There is an online version of the complete text available via </w:t>
      </w:r>
      <w:hyperlink r:id="rId10" w:history="1">
        <w:r w:rsidR="00C16F34">
          <w:rPr>
            <w:rStyle w:val="Hyperlink"/>
            <w:rFonts w:ascii="Palatino Linotype" w:hAnsi="Palatino Linotype"/>
            <w:sz w:val="20"/>
            <w:szCs w:val="20"/>
          </w:rPr>
          <w:t>Project Guttenberg</w:t>
        </w:r>
      </w:hyperlink>
      <w:r>
        <w:rPr>
          <w:rFonts w:ascii="Palatino Linotype" w:hAnsi="Palatino Linotype"/>
          <w:sz w:val="20"/>
          <w:szCs w:val="20"/>
        </w:rPr>
        <w:t>.)</w:t>
      </w:r>
    </w:p>
    <w:p w14:paraId="0B08CEE0" w14:textId="77777777" w:rsidR="00C16F34" w:rsidRDefault="00344A42">
      <w:pPr>
        <w:pStyle w:val="Heading2"/>
        <w:rPr>
          <w:rFonts w:ascii="Palatino Linotype" w:hAnsi="Palatino Linotype"/>
          <w:color w:val="002060"/>
          <w:sz w:val="28"/>
          <w:szCs w:val="28"/>
        </w:rPr>
      </w:pPr>
      <w:r>
        <w:rPr>
          <w:rFonts w:ascii="Palatino Linotype" w:hAnsi="Palatino Linotype"/>
          <w:color w:val="002060"/>
          <w:sz w:val="28"/>
          <w:szCs w:val="28"/>
        </w:rPr>
        <w:t>Part 2: Conservatism</w:t>
      </w:r>
    </w:p>
    <w:p w14:paraId="6BF50CE9" w14:textId="77777777" w:rsidR="00C16F34" w:rsidRDefault="00344A42">
      <w:pPr>
        <w:pStyle w:val="Heading3"/>
        <w:rPr>
          <w:rFonts w:ascii="Palatino Linotype" w:hAnsi="Palatino Linotype"/>
        </w:rPr>
      </w:pPr>
      <w:r>
        <w:rPr>
          <w:rFonts w:ascii="Palatino Linotype" w:hAnsi="Palatino Linotype"/>
        </w:rPr>
        <w:t>Week 4:</w:t>
      </w:r>
    </w:p>
    <w:p w14:paraId="32FD46EC" w14:textId="77777777" w:rsidR="00C16F34" w:rsidRDefault="00344A42">
      <w:pPr>
        <w:pStyle w:val="Heading3"/>
        <w:rPr>
          <w:rFonts w:ascii="Palatino Linotype" w:hAnsi="Palatino Linotype"/>
          <w:u w:val="single"/>
        </w:rPr>
      </w:pPr>
      <w:r>
        <w:rPr>
          <w:rFonts w:ascii="Palatino Linotype" w:hAnsi="Palatino Linotype"/>
          <w:u w:val="single"/>
        </w:rPr>
        <w:t>Conservatism as an Attitude to Change, and the Rationality of Status-Quo Bias</w:t>
      </w:r>
    </w:p>
    <w:p w14:paraId="3996A460" w14:textId="77777777" w:rsidR="00C16F34" w:rsidRDefault="00344A42">
      <w:pPr>
        <w:ind w:left="142" w:hanging="142"/>
        <w:rPr>
          <w:rFonts w:ascii="Palatino Linotype" w:hAnsi="Palatino Linotype"/>
        </w:rPr>
      </w:pPr>
      <w:r>
        <w:rPr>
          <w:rFonts w:ascii="Palatino Linotype" w:hAnsi="Palatino Linotype"/>
          <w:b/>
          <w:bCs/>
        </w:rPr>
        <w:t>*Michael Oakeshott</w:t>
      </w:r>
      <w:r>
        <w:rPr>
          <w:rFonts w:ascii="Palatino Linotype" w:hAnsi="Palatino Linotype"/>
        </w:rPr>
        <w:t xml:space="preserve">, ‘On Being Conservative’ in </w:t>
      </w:r>
      <w:r>
        <w:rPr>
          <w:rFonts w:ascii="Palatino Linotype" w:hAnsi="Palatino Linotype"/>
          <w:i/>
          <w:iCs/>
        </w:rPr>
        <w:t xml:space="preserve">Rationalism in Politics </w:t>
      </w:r>
      <w:r>
        <w:rPr>
          <w:rFonts w:ascii="Palatino Linotype" w:hAnsi="Palatino Linotype"/>
        </w:rPr>
        <w:t xml:space="preserve">(London: Methuen &amp; Co., 1962) </w:t>
      </w:r>
    </w:p>
    <w:p w14:paraId="632CCC24" w14:textId="77777777" w:rsidR="00C16F34" w:rsidRDefault="00344A42">
      <w:pPr>
        <w:ind w:left="142" w:hanging="142"/>
        <w:rPr>
          <w:rFonts w:ascii="Palatino Linotype" w:hAnsi="Palatino Linotype"/>
          <w:sz w:val="20"/>
          <w:szCs w:val="20"/>
        </w:rPr>
      </w:pPr>
      <w:r>
        <w:rPr>
          <w:rFonts w:ascii="Palatino Linotype" w:hAnsi="Palatino Linotype"/>
          <w:b/>
          <w:bCs/>
          <w:sz w:val="20"/>
          <w:szCs w:val="20"/>
        </w:rPr>
        <w:t>Geoffrey Brennan &amp; Alan Hamlin</w:t>
      </w:r>
      <w:r>
        <w:rPr>
          <w:rFonts w:ascii="Palatino Linotype" w:hAnsi="Palatino Linotype"/>
          <w:sz w:val="20"/>
          <w:szCs w:val="20"/>
        </w:rPr>
        <w:t xml:space="preserve">, 2016. ‘Practical Conservativism’, </w:t>
      </w:r>
      <w:r>
        <w:rPr>
          <w:rFonts w:ascii="Palatino Linotype" w:hAnsi="Palatino Linotype"/>
          <w:i/>
          <w:iCs/>
          <w:sz w:val="20"/>
          <w:szCs w:val="20"/>
        </w:rPr>
        <w:t>The Monist</w:t>
      </w:r>
      <w:r>
        <w:rPr>
          <w:rFonts w:ascii="Palatino Linotype" w:hAnsi="Palatino Linotype"/>
          <w:sz w:val="20"/>
          <w:szCs w:val="20"/>
        </w:rPr>
        <w:t xml:space="preserve"> 99:4, pp. 336–51 </w:t>
      </w:r>
    </w:p>
    <w:p w14:paraId="48A0760A" w14:textId="77777777" w:rsidR="00C16F34" w:rsidRDefault="00344A42">
      <w:pPr>
        <w:ind w:left="142" w:firstLine="284"/>
        <w:rPr>
          <w:rFonts w:ascii="Palatino Linotype" w:hAnsi="Palatino Linotype"/>
          <w:sz w:val="18"/>
          <w:szCs w:val="18"/>
        </w:rPr>
      </w:pPr>
      <w:r>
        <w:rPr>
          <w:rFonts w:ascii="Palatino Linotype" w:hAnsi="Palatino Linotype"/>
          <w:sz w:val="18"/>
          <w:szCs w:val="18"/>
        </w:rPr>
        <w:t>See also some of the other papers in this edition of the journal, for other aspects of conservatism</w:t>
      </w:r>
    </w:p>
    <w:p w14:paraId="4EDD4C3A" w14:textId="77777777" w:rsidR="00C16F34" w:rsidRDefault="00344A42">
      <w:pPr>
        <w:ind w:left="142" w:hanging="142"/>
        <w:rPr>
          <w:rFonts w:ascii="Palatino Linotype" w:hAnsi="Palatino Linotype"/>
          <w:sz w:val="20"/>
          <w:szCs w:val="20"/>
        </w:rPr>
      </w:pPr>
      <w:r>
        <w:rPr>
          <w:rFonts w:ascii="Palatino Linotype" w:hAnsi="Palatino Linotype"/>
          <w:b/>
          <w:bCs/>
          <w:sz w:val="20"/>
          <w:szCs w:val="20"/>
        </w:rPr>
        <w:t>F. A. Hayek</w:t>
      </w:r>
      <w:r>
        <w:rPr>
          <w:rFonts w:ascii="Palatino Linotype" w:hAnsi="Palatino Linotype"/>
          <w:sz w:val="20"/>
          <w:szCs w:val="20"/>
        </w:rPr>
        <w:t xml:space="preserve">, </w:t>
      </w:r>
      <w:r>
        <w:rPr>
          <w:rFonts w:ascii="Palatino Linotype" w:hAnsi="Palatino Linotype"/>
          <w:i/>
          <w:iCs/>
          <w:sz w:val="20"/>
          <w:szCs w:val="20"/>
        </w:rPr>
        <w:t>The Constitution of Liberty</w:t>
      </w:r>
      <w:r>
        <w:rPr>
          <w:rFonts w:ascii="Palatino Linotype" w:hAnsi="Palatino Linotype"/>
          <w:sz w:val="20"/>
          <w:szCs w:val="20"/>
        </w:rPr>
        <w:t xml:space="preserve"> [1960], ‘Postscript: Why I am Not a Conservative’, in </w:t>
      </w:r>
      <w:r>
        <w:rPr>
          <w:rFonts w:ascii="Palatino Linotype" w:hAnsi="Palatino Linotype"/>
          <w:i/>
          <w:iCs/>
          <w:sz w:val="20"/>
          <w:szCs w:val="20"/>
        </w:rPr>
        <w:t xml:space="preserve">The Constitution of Liberty: The Definitive Edition </w:t>
      </w:r>
      <w:r>
        <w:rPr>
          <w:rFonts w:ascii="Palatino Linotype" w:hAnsi="Palatino Linotype"/>
          <w:sz w:val="20"/>
          <w:szCs w:val="20"/>
        </w:rPr>
        <w:t>(Chicago, Ill.: University of Chicago Press, 2011)</w:t>
      </w:r>
    </w:p>
    <w:p w14:paraId="1AC22ACF" w14:textId="77777777" w:rsidR="00C16F34" w:rsidRDefault="00C16F34">
      <w:pPr>
        <w:pStyle w:val="Heading3"/>
        <w:rPr>
          <w:rFonts w:ascii="Palatino Linotype" w:hAnsi="Palatino Linotype"/>
        </w:rPr>
      </w:pPr>
    </w:p>
    <w:p w14:paraId="25F10398" w14:textId="77777777" w:rsidR="00C16F34" w:rsidRDefault="00344A42">
      <w:pPr>
        <w:pStyle w:val="Heading3"/>
        <w:rPr>
          <w:rFonts w:ascii="Palatino Linotype" w:hAnsi="Palatino Linotype"/>
        </w:rPr>
      </w:pPr>
      <w:r>
        <w:rPr>
          <w:rFonts w:ascii="Palatino Linotype" w:hAnsi="Palatino Linotype"/>
        </w:rPr>
        <w:t>Week 5:</w:t>
      </w:r>
    </w:p>
    <w:p w14:paraId="2A23A122" w14:textId="77777777" w:rsidR="00C16F34" w:rsidRDefault="00344A42">
      <w:pPr>
        <w:pStyle w:val="Heading3"/>
        <w:rPr>
          <w:rFonts w:ascii="Palatino Linotype" w:hAnsi="Palatino Linotype"/>
          <w:u w:val="single"/>
        </w:rPr>
      </w:pPr>
      <w:r>
        <w:rPr>
          <w:rFonts w:ascii="Palatino Linotype" w:hAnsi="Palatino Linotype"/>
          <w:u w:val="single"/>
        </w:rPr>
        <w:t>Conservatism, Epistemology and Organisation</w:t>
      </w:r>
    </w:p>
    <w:p w14:paraId="33E950B2" w14:textId="77777777" w:rsidR="00C16F34" w:rsidRDefault="00344A42">
      <w:pPr>
        <w:ind w:left="142" w:hanging="142"/>
        <w:rPr>
          <w:rFonts w:ascii="Palatino Linotype" w:hAnsi="Palatino Linotype"/>
        </w:rPr>
      </w:pPr>
      <w:r>
        <w:rPr>
          <w:rFonts w:ascii="Palatino Linotype" w:hAnsi="Palatino Linotype"/>
          <w:b/>
          <w:bCs/>
        </w:rPr>
        <w:t>*F. A. Hayek</w:t>
      </w:r>
      <w:r>
        <w:rPr>
          <w:rFonts w:ascii="Palatino Linotype" w:hAnsi="Palatino Linotype"/>
        </w:rPr>
        <w:t xml:space="preserve">, [1973]. </w:t>
      </w:r>
      <w:r>
        <w:rPr>
          <w:rFonts w:ascii="Palatino Linotype" w:hAnsi="Palatino Linotype"/>
          <w:i/>
          <w:iCs/>
        </w:rPr>
        <w:t xml:space="preserve">Law, Legislation and Liberty: A New </w:t>
      </w:r>
      <w:r>
        <w:rPr>
          <w:rFonts w:ascii="Palatino Linotype" w:hAnsi="Palatino Linotype"/>
          <w:i/>
          <w:iCs/>
        </w:rPr>
        <w:t>Statement of the Liberal Principles of Justice and Political Economy</w:t>
      </w:r>
      <w:r>
        <w:rPr>
          <w:rFonts w:ascii="Palatino Linotype" w:hAnsi="Palatino Linotype"/>
        </w:rPr>
        <w:t xml:space="preserve"> (London: Routledge, 1982 [1973–9]), Vol. 1 Chapter 2 (‘Cosmos and Taxis’)</w:t>
      </w:r>
    </w:p>
    <w:p w14:paraId="18C9911C" w14:textId="77777777" w:rsidR="00C16F34" w:rsidRDefault="00344A42">
      <w:pPr>
        <w:ind w:left="142" w:hanging="142"/>
        <w:rPr>
          <w:rFonts w:ascii="Palatino Linotype" w:hAnsi="Palatino Linotype"/>
          <w:sz w:val="20"/>
          <w:szCs w:val="20"/>
        </w:rPr>
      </w:pPr>
      <w:r>
        <w:rPr>
          <w:rFonts w:ascii="Palatino Linotype" w:hAnsi="Palatino Linotype"/>
          <w:b/>
          <w:bCs/>
          <w:sz w:val="20"/>
          <w:szCs w:val="20"/>
        </w:rPr>
        <w:t>Michele De Montaigne</w:t>
      </w:r>
      <w:r>
        <w:rPr>
          <w:rFonts w:ascii="Palatino Linotype" w:hAnsi="Palatino Linotype"/>
          <w:sz w:val="20"/>
          <w:szCs w:val="20"/>
        </w:rPr>
        <w:t xml:space="preserve">, [1580]. ‘On Habit: and on Never Easily Changing a Traditional Law’, </w:t>
      </w:r>
      <w:r>
        <w:rPr>
          <w:rFonts w:ascii="Palatino Linotype" w:hAnsi="Palatino Linotype"/>
          <w:i/>
          <w:iCs/>
          <w:sz w:val="20"/>
          <w:szCs w:val="20"/>
        </w:rPr>
        <w:t>Essays</w:t>
      </w:r>
      <w:r>
        <w:rPr>
          <w:rFonts w:ascii="Palatino Linotype" w:hAnsi="Palatino Linotype"/>
          <w:sz w:val="20"/>
          <w:szCs w:val="20"/>
        </w:rPr>
        <w:t xml:space="preserve"> Book I Ch. 23, in </w:t>
      </w:r>
      <w:r>
        <w:rPr>
          <w:rFonts w:ascii="Palatino Linotype" w:hAnsi="Palatino Linotype"/>
          <w:i/>
          <w:iCs/>
          <w:sz w:val="20"/>
          <w:szCs w:val="20"/>
        </w:rPr>
        <w:t>The Complete Essays</w:t>
      </w:r>
      <w:r>
        <w:rPr>
          <w:rFonts w:ascii="Palatino Linotype" w:hAnsi="Palatino Linotype"/>
          <w:sz w:val="20"/>
          <w:szCs w:val="20"/>
        </w:rPr>
        <w:t xml:space="preserve"> (trans. M. A. Screech, London: Penguin, 1991/2003)</w:t>
      </w:r>
    </w:p>
    <w:p w14:paraId="07D0ADDA" w14:textId="77777777" w:rsidR="00C16F34" w:rsidRDefault="00344A42">
      <w:pPr>
        <w:ind w:left="142" w:hanging="142"/>
        <w:rPr>
          <w:rFonts w:ascii="Palatino Linotype" w:hAnsi="Palatino Linotype"/>
          <w:sz w:val="20"/>
          <w:szCs w:val="20"/>
        </w:rPr>
      </w:pPr>
      <w:r>
        <w:rPr>
          <w:rFonts w:ascii="Palatino Linotype" w:hAnsi="Palatino Linotype"/>
          <w:b/>
          <w:bCs/>
          <w:sz w:val="20"/>
          <w:szCs w:val="20"/>
        </w:rPr>
        <w:t>John Christian Laursen</w:t>
      </w:r>
      <w:r>
        <w:rPr>
          <w:rFonts w:ascii="Palatino Linotype" w:hAnsi="Palatino Linotype"/>
          <w:sz w:val="20"/>
          <w:szCs w:val="20"/>
        </w:rPr>
        <w:t xml:space="preserve">, 1989. ‘Michel de Montaigne and the Politics of </w:t>
      </w:r>
      <w:proofErr w:type="spellStart"/>
      <w:r>
        <w:rPr>
          <w:rFonts w:ascii="Palatino Linotype" w:hAnsi="Palatino Linotype"/>
          <w:sz w:val="20"/>
          <w:szCs w:val="20"/>
        </w:rPr>
        <w:t>Skepticism</w:t>
      </w:r>
      <w:proofErr w:type="spellEnd"/>
      <w:r>
        <w:rPr>
          <w:rFonts w:ascii="Palatino Linotype" w:hAnsi="Palatino Linotype"/>
          <w:sz w:val="20"/>
          <w:szCs w:val="20"/>
        </w:rPr>
        <w:t xml:space="preserve">’, </w:t>
      </w:r>
      <w:r>
        <w:rPr>
          <w:rFonts w:ascii="Palatino Linotype" w:hAnsi="Palatino Linotype"/>
          <w:i/>
          <w:iCs/>
          <w:sz w:val="20"/>
          <w:szCs w:val="20"/>
        </w:rPr>
        <w:t xml:space="preserve">Historical Reflections / </w:t>
      </w:r>
      <w:proofErr w:type="spellStart"/>
      <w:r>
        <w:rPr>
          <w:rFonts w:ascii="Palatino Linotype" w:hAnsi="Palatino Linotype"/>
          <w:i/>
          <w:iCs/>
          <w:sz w:val="20"/>
          <w:szCs w:val="20"/>
        </w:rPr>
        <w:t>Réflexions</w:t>
      </w:r>
      <w:proofErr w:type="spellEnd"/>
      <w:r>
        <w:rPr>
          <w:rFonts w:ascii="Palatino Linotype" w:hAnsi="Palatino Linotype"/>
          <w:i/>
          <w:iCs/>
          <w:sz w:val="20"/>
          <w:szCs w:val="20"/>
        </w:rPr>
        <w:t xml:space="preserve"> </w:t>
      </w:r>
      <w:proofErr w:type="spellStart"/>
      <w:r>
        <w:rPr>
          <w:rFonts w:ascii="Palatino Linotype" w:hAnsi="Palatino Linotype"/>
          <w:i/>
          <w:iCs/>
          <w:sz w:val="20"/>
          <w:szCs w:val="20"/>
        </w:rPr>
        <w:t>Historiques</w:t>
      </w:r>
      <w:proofErr w:type="spellEnd"/>
      <w:r>
        <w:rPr>
          <w:rFonts w:ascii="Palatino Linotype" w:hAnsi="Palatino Linotype"/>
          <w:sz w:val="20"/>
          <w:szCs w:val="20"/>
        </w:rPr>
        <w:t xml:space="preserve"> 16:1, pp. 99-133.</w:t>
      </w:r>
    </w:p>
    <w:p w14:paraId="6BAA2D07" w14:textId="77777777" w:rsidR="00C16F34" w:rsidRDefault="00344A42">
      <w:pPr>
        <w:ind w:left="142" w:hanging="142"/>
        <w:rPr>
          <w:rFonts w:ascii="Palatino Linotype" w:hAnsi="Palatino Linotype" w:cs="Arial"/>
          <w:color w:val="4B4D4F"/>
          <w:sz w:val="20"/>
          <w:szCs w:val="20"/>
        </w:rPr>
      </w:pPr>
      <w:proofErr w:type="spellStart"/>
      <w:r>
        <w:rPr>
          <w:rFonts w:ascii="Palatino Linotype" w:hAnsi="Palatino Linotype"/>
          <w:b/>
          <w:bCs/>
          <w:sz w:val="20"/>
          <w:szCs w:val="20"/>
        </w:rPr>
        <w:t>Biancamaria</w:t>
      </w:r>
      <w:proofErr w:type="spellEnd"/>
      <w:r>
        <w:rPr>
          <w:rFonts w:ascii="Palatino Linotype" w:hAnsi="Palatino Linotype"/>
          <w:b/>
          <w:bCs/>
          <w:sz w:val="20"/>
          <w:szCs w:val="20"/>
        </w:rPr>
        <w:t xml:space="preserve"> Fontana</w:t>
      </w:r>
      <w:r>
        <w:rPr>
          <w:rFonts w:ascii="Palatino Linotype" w:hAnsi="Palatino Linotype"/>
          <w:sz w:val="20"/>
          <w:szCs w:val="20"/>
        </w:rPr>
        <w:t xml:space="preserve">, 2016. ‘The Political Thought of Montaigne’ in </w:t>
      </w:r>
      <w:r>
        <w:rPr>
          <w:rFonts w:ascii="Palatino Linotype" w:hAnsi="Palatino Linotype" w:cs="Arial"/>
          <w:color w:val="4B4D4F"/>
          <w:sz w:val="20"/>
          <w:szCs w:val="20"/>
        </w:rPr>
        <w:t xml:space="preserve">Philippe Desan (ed.), </w:t>
      </w:r>
      <w:r>
        <w:rPr>
          <w:rFonts w:ascii="Palatino Linotype" w:hAnsi="Palatino Linotype" w:cs="Arial"/>
          <w:i/>
          <w:iCs/>
          <w:color w:val="4B4D4F"/>
          <w:sz w:val="20"/>
          <w:szCs w:val="20"/>
        </w:rPr>
        <w:t>The Oxford Handbook of Montaigne</w:t>
      </w:r>
      <w:r>
        <w:rPr>
          <w:rFonts w:ascii="Palatino Linotype" w:hAnsi="Palatino Linotype" w:cs="Arial"/>
          <w:color w:val="4B4D4F"/>
          <w:sz w:val="20"/>
          <w:szCs w:val="20"/>
        </w:rPr>
        <w:t xml:space="preserve"> (Oxford: OUP)</w:t>
      </w:r>
    </w:p>
    <w:p w14:paraId="7A8E6584" w14:textId="77777777" w:rsidR="00C16F34" w:rsidRDefault="00344A42">
      <w:pPr>
        <w:ind w:left="142" w:hanging="142"/>
        <w:rPr>
          <w:rFonts w:ascii="Palatino Linotype" w:hAnsi="Palatino Linotype"/>
          <w:sz w:val="20"/>
          <w:szCs w:val="20"/>
        </w:rPr>
      </w:pPr>
      <w:r>
        <w:rPr>
          <w:rFonts w:ascii="Palatino Linotype" w:hAnsi="Palatino Linotype"/>
          <w:b/>
          <w:bCs/>
          <w:sz w:val="20"/>
          <w:szCs w:val="20"/>
        </w:rPr>
        <w:t>Edmund Burke</w:t>
      </w:r>
      <w:r>
        <w:rPr>
          <w:rFonts w:ascii="Palatino Linotype" w:hAnsi="Palatino Linotype"/>
          <w:sz w:val="20"/>
          <w:szCs w:val="20"/>
        </w:rPr>
        <w:t xml:space="preserve">, [1790]. </w:t>
      </w:r>
      <w:r>
        <w:rPr>
          <w:rFonts w:ascii="Palatino Linotype" w:hAnsi="Palatino Linotype"/>
          <w:i/>
          <w:iCs/>
          <w:sz w:val="20"/>
          <w:szCs w:val="20"/>
        </w:rPr>
        <w:t>Reflections on the Revolution in France</w:t>
      </w:r>
      <w:r>
        <w:rPr>
          <w:rFonts w:ascii="Palatino Linotype" w:hAnsi="Palatino Linotype"/>
          <w:sz w:val="20"/>
          <w:szCs w:val="20"/>
        </w:rPr>
        <w:t xml:space="preserve">, in Iain Hampshire-Monk (ed.) </w:t>
      </w:r>
      <w:r>
        <w:rPr>
          <w:rFonts w:ascii="Palatino Linotype" w:hAnsi="Palatino Linotype"/>
          <w:i/>
          <w:iCs/>
          <w:sz w:val="20"/>
          <w:szCs w:val="20"/>
        </w:rPr>
        <w:t>Revolutionary Writings: Reflections on the Revolution in France and the First ‘Letter on the Regicide Peace’</w:t>
      </w:r>
      <w:r>
        <w:rPr>
          <w:rFonts w:ascii="Palatino Linotype" w:hAnsi="Palatino Linotype"/>
          <w:sz w:val="20"/>
          <w:szCs w:val="20"/>
        </w:rPr>
        <w:t xml:space="preserve"> (Cambridge: CUP, 2014), esp. pp. 59–65, 169–76 </w:t>
      </w:r>
    </w:p>
    <w:p w14:paraId="43D98272" w14:textId="77777777" w:rsidR="00C16F34" w:rsidRDefault="00C16F34"/>
    <w:p w14:paraId="0A6E353F" w14:textId="77777777" w:rsidR="00C16F34" w:rsidRDefault="00C16F34"/>
    <w:p w14:paraId="40FD5F98" w14:textId="77777777" w:rsidR="00C16F34" w:rsidRDefault="00344A42">
      <w:pPr>
        <w:pStyle w:val="Heading3"/>
      </w:pPr>
      <w:r>
        <w:t>CONSOLIDATION WEEK: NO TEACHING</w:t>
      </w:r>
    </w:p>
    <w:p w14:paraId="53491C6A" w14:textId="77777777" w:rsidR="00C16F34" w:rsidRDefault="00C16F34"/>
    <w:p w14:paraId="36D3F250" w14:textId="77777777" w:rsidR="00C16F34" w:rsidRDefault="00344A42">
      <w:pPr>
        <w:pStyle w:val="Heading3"/>
      </w:pPr>
      <w:r>
        <w:t>WEEK 6: Formative Feedback Office Hours</w:t>
      </w:r>
    </w:p>
    <w:p w14:paraId="7C03BECD" w14:textId="77777777" w:rsidR="00C16F34" w:rsidRDefault="00C16F34"/>
    <w:p w14:paraId="36BBB336" w14:textId="77777777" w:rsidR="00C16F34" w:rsidRDefault="00C16F34"/>
    <w:p w14:paraId="59D6F874" w14:textId="77777777" w:rsidR="00C16F34" w:rsidRDefault="00344A42">
      <w:pPr>
        <w:pStyle w:val="Heading3"/>
        <w:rPr>
          <w:rFonts w:ascii="Palatino Linotype" w:hAnsi="Palatino Linotype"/>
        </w:rPr>
      </w:pPr>
      <w:r>
        <w:rPr>
          <w:rFonts w:ascii="Palatino Linotype" w:hAnsi="Palatino Linotype"/>
        </w:rPr>
        <w:lastRenderedPageBreak/>
        <w:t>Week 7:</w:t>
      </w:r>
    </w:p>
    <w:p w14:paraId="2706722D" w14:textId="77777777" w:rsidR="00C16F34" w:rsidRDefault="00344A42">
      <w:pPr>
        <w:pStyle w:val="Heading3"/>
        <w:rPr>
          <w:rFonts w:ascii="Palatino Linotype" w:hAnsi="Palatino Linotype"/>
          <w:u w:val="single"/>
        </w:rPr>
      </w:pPr>
      <w:r>
        <w:rPr>
          <w:rFonts w:ascii="Palatino Linotype" w:hAnsi="Palatino Linotype"/>
          <w:u w:val="single"/>
        </w:rPr>
        <w:t>Conservative Valuing</w:t>
      </w:r>
    </w:p>
    <w:p w14:paraId="3D5701BD" w14:textId="77777777" w:rsidR="00C16F34" w:rsidRDefault="00344A42">
      <w:pPr>
        <w:ind w:left="142" w:hanging="142"/>
        <w:rPr>
          <w:rFonts w:ascii="Palatino Linotype" w:hAnsi="Palatino Linotype" w:cs="Tahoma"/>
          <w:color w:val="000000"/>
        </w:rPr>
      </w:pPr>
      <w:r>
        <w:rPr>
          <w:rFonts w:ascii="Palatino Linotype" w:hAnsi="Palatino Linotype"/>
          <w:b/>
          <w:bCs/>
        </w:rPr>
        <w:t>*G. A. Cohen</w:t>
      </w:r>
      <w:r>
        <w:rPr>
          <w:rFonts w:ascii="Palatino Linotype" w:hAnsi="Palatino Linotype"/>
        </w:rPr>
        <w:t xml:space="preserve">, 2011. ‘Rescuing Conservativism: A Defence of Existing Value’ in </w:t>
      </w:r>
      <w:r>
        <w:rPr>
          <w:rFonts w:ascii="Palatino Linotype" w:hAnsi="Palatino Linotype" w:cs="Tahoma"/>
          <w:color w:val="000000"/>
        </w:rPr>
        <w:t>R. Jay Wallace, Rahul Kumar, and Samuel Freeman (eds</w:t>
      </w:r>
      <w:r>
        <w:rPr>
          <w:rFonts w:ascii="Palatino Linotype" w:hAnsi="Palatino Linotype"/>
        </w:rPr>
        <w:t xml:space="preserve">.), </w:t>
      </w:r>
      <w:hyperlink r:id="rId11" w:history="1">
        <w:r w:rsidR="00C16F34">
          <w:rPr>
            <w:rStyle w:val="Hyperlink"/>
            <w:rFonts w:ascii="Palatino Linotype" w:hAnsi="Palatino Linotype"/>
            <w:i/>
            <w:iCs/>
            <w:color w:val="auto"/>
            <w:u w:val="none"/>
          </w:rPr>
          <w:t>Reasons and Recognition: Essays on the Philosophy of T.M. Scanlon</w:t>
        </w:r>
      </w:hyperlink>
      <w:r>
        <w:rPr>
          <w:rFonts w:ascii="Palatino Linotype" w:hAnsi="Palatino Linotype"/>
        </w:rPr>
        <w:t xml:space="preserve"> (Oxford: OUP)</w:t>
      </w:r>
    </w:p>
    <w:p w14:paraId="4DEA7DE3" w14:textId="77777777" w:rsidR="00C16F34" w:rsidRDefault="00344A42">
      <w:pPr>
        <w:ind w:left="567"/>
        <w:rPr>
          <w:rFonts w:ascii="Palatino Linotype" w:hAnsi="Palatino Linotype"/>
          <w:sz w:val="18"/>
          <w:szCs w:val="18"/>
        </w:rPr>
      </w:pPr>
      <w:r>
        <w:rPr>
          <w:rFonts w:ascii="Palatino Linotype" w:hAnsi="Palatino Linotype"/>
          <w:sz w:val="18"/>
          <w:szCs w:val="18"/>
        </w:rPr>
        <w:t xml:space="preserve">We don’t have it in the library, but there is a revised version of this essay in Cohen’s collection </w:t>
      </w:r>
      <w:r>
        <w:rPr>
          <w:rFonts w:ascii="Palatino Linotype" w:hAnsi="Palatino Linotype"/>
          <w:i/>
          <w:iCs/>
          <w:sz w:val="18"/>
          <w:szCs w:val="18"/>
        </w:rPr>
        <w:t>Finding Oneself in the Other</w:t>
      </w:r>
      <w:r>
        <w:rPr>
          <w:rFonts w:ascii="Palatino Linotype" w:hAnsi="Palatino Linotype"/>
          <w:sz w:val="18"/>
          <w:szCs w:val="18"/>
        </w:rPr>
        <w:t xml:space="preserve"> (Princeton, NJ: Princeton University Press, 2013). I will use the one listed above </w:t>
      </w:r>
      <w:proofErr w:type="gramStart"/>
      <w:r>
        <w:rPr>
          <w:rFonts w:ascii="Palatino Linotype" w:hAnsi="Palatino Linotype"/>
          <w:sz w:val="18"/>
          <w:szCs w:val="18"/>
        </w:rPr>
        <w:t>mainly, but</w:t>
      </w:r>
      <w:proofErr w:type="gramEnd"/>
      <w:r>
        <w:rPr>
          <w:rFonts w:ascii="Palatino Linotype" w:hAnsi="Palatino Linotype"/>
          <w:sz w:val="18"/>
          <w:szCs w:val="18"/>
        </w:rPr>
        <w:t xml:space="preserve"> might note some points from the revised version if relevant, to bring them to your attention. </w:t>
      </w:r>
    </w:p>
    <w:p w14:paraId="37EC3938" w14:textId="77777777" w:rsidR="00C16F34" w:rsidRDefault="00344A42">
      <w:pPr>
        <w:ind w:left="284" w:hanging="284"/>
        <w:rPr>
          <w:b/>
          <w:bCs/>
        </w:rPr>
      </w:pPr>
      <w:r>
        <w:rPr>
          <w:rFonts w:ascii="Palatino Linotype" w:hAnsi="Palatino Linotype"/>
          <w:b/>
          <w:bCs/>
          <w:sz w:val="20"/>
          <w:szCs w:val="20"/>
        </w:rPr>
        <w:t>Geoffrey Brennan &amp; Alan Hamlin</w:t>
      </w:r>
      <w:r>
        <w:rPr>
          <w:rFonts w:ascii="Palatino Linotype" w:hAnsi="Palatino Linotype"/>
          <w:sz w:val="20"/>
          <w:szCs w:val="20"/>
        </w:rPr>
        <w:t xml:space="preserve">, 2016. ‘Conservative Value’, </w:t>
      </w:r>
      <w:r>
        <w:rPr>
          <w:rFonts w:ascii="Palatino Linotype" w:hAnsi="Palatino Linotype"/>
          <w:i/>
          <w:iCs/>
          <w:sz w:val="20"/>
          <w:szCs w:val="20"/>
        </w:rPr>
        <w:t>The Monist</w:t>
      </w:r>
      <w:r>
        <w:rPr>
          <w:rFonts w:ascii="Palatino Linotype" w:hAnsi="Palatino Linotype"/>
          <w:sz w:val="20"/>
          <w:szCs w:val="20"/>
        </w:rPr>
        <w:t xml:space="preserve"> 99:4, pp. 352–71  </w:t>
      </w:r>
    </w:p>
    <w:p w14:paraId="7C5BE551" w14:textId="77777777" w:rsidR="00C16F34" w:rsidRDefault="00344A42">
      <w:pPr>
        <w:pStyle w:val="Heading2"/>
        <w:rPr>
          <w:rFonts w:ascii="Palatino Linotype" w:hAnsi="Palatino Linotype"/>
          <w:sz w:val="28"/>
          <w:szCs w:val="28"/>
        </w:rPr>
      </w:pPr>
      <w:r>
        <w:rPr>
          <w:rFonts w:ascii="Palatino Linotype" w:hAnsi="Palatino Linotype"/>
          <w:color w:val="002060"/>
          <w:sz w:val="28"/>
          <w:szCs w:val="28"/>
        </w:rPr>
        <w:t xml:space="preserve">Part 3: </w:t>
      </w:r>
      <w:proofErr w:type="gramStart"/>
      <w:r>
        <w:rPr>
          <w:rFonts w:ascii="Palatino Linotype" w:hAnsi="Palatino Linotype"/>
          <w:color w:val="002060"/>
          <w:sz w:val="28"/>
          <w:szCs w:val="28"/>
        </w:rPr>
        <w:t>Particular Issues</w:t>
      </w:r>
      <w:proofErr w:type="gramEnd"/>
    </w:p>
    <w:p w14:paraId="6C795BAB" w14:textId="77777777" w:rsidR="00C16F34" w:rsidRDefault="00344A42">
      <w:pPr>
        <w:pStyle w:val="Heading3"/>
        <w:rPr>
          <w:rFonts w:ascii="Palatino Linotype" w:hAnsi="Palatino Linotype"/>
        </w:rPr>
      </w:pPr>
      <w:r>
        <w:rPr>
          <w:rFonts w:ascii="Palatino Linotype" w:hAnsi="Palatino Linotype"/>
        </w:rPr>
        <w:t>Week 8:</w:t>
      </w:r>
    </w:p>
    <w:p w14:paraId="06BEAA15" w14:textId="77777777" w:rsidR="00C16F34" w:rsidRDefault="00344A42">
      <w:pPr>
        <w:pStyle w:val="Heading3"/>
        <w:rPr>
          <w:rFonts w:ascii="Palatino Linotype" w:hAnsi="Palatino Linotype"/>
          <w:u w:val="single"/>
        </w:rPr>
      </w:pPr>
      <w:r>
        <w:rPr>
          <w:rFonts w:ascii="Palatino Linotype" w:hAnsi="Palatino Linotype"/>
          <w:u w:val="single"/>
        </w:rPr>
        <w:t>Conservative and Anarchist Feminisms?</w:t>
      </w:r>
    </w:p>
    <w:p w14:paraId="5B8F9DF3" w14:textId="77777777" w:rsidR="00C16F34" w:rsidRDefault="00344A42">
      <w:pPr>
        <w:ind w:left="142" w:hanging="142"/>
        <w:rPr>
          <w:rFonts w:ascii="Palatino Linotype" w:hAnsi="Palatino Linotype"/>
        </w:rPr>
      </w:pPr>
      <w:r>
        <w:rPr>
          <w:rFonts w:ascii="Palatino Linotype" w:hAnsi="Palatino Linotype"/>
          <w:b/>
          <w:bCs/>
        </w:rPr>
        <w:t>*Amy R. Baehr</w:t>
      </w:r>
      <w:r>
        <w:rPr>
          <w:rFonts w:ascii="Palatino Linotype" w:hAnsi="Palatino Linotype"/>
        </w:rPr>
        <w:t xml:space="preserve">, 2009. ‘Conservatism, Feminism, and Elizabeth Fox-Genovese’, </w:t>
      </w:r>
      <w:r>
        <w:rPr>
          <w:rFonts w:ascii="Palatino Linotype" w:hAnsi="Palatino Linotype"/>
          <w:i/>
          <w:iCs/>
        </w:rPr>
        <w:t>Hypatia</w:t>
      </w:r>
      <w:r>
        <w:rPr>
          <w:rFonts w:ascii="Palatino Linotype" w:hAnsi="Palatino Linotype"/>
        </w:rPr>
        <w:t xml:space="preserve"> 24:2, pp. 101–124</w:t>
      </w:r>
    </w:p>
    <w:p w14:paraId="2FAB6791" w14:textId="77777777" w:rsidR="00C16F34" w:rsidRDefault="00344A42">
      <w:pPr>
        <w:ind w:left="142" w:hanging="142"/>
        <w:rPr>
          <w:rFonts w:ascii="Palatino Linotype" w:hAnsi="Palatino Linotype"/>
        </w:rPr>
      </w:pPr>
      <w:r>
        <w:rPr>
          <w:rFonts w:ascii="Palatino Linotype" w:hAnsi="Palatino Linotype"/>
          <w:b/>
          <w:bCs/>
        </w:rPr>
        <w:t>*Emma Goldman</w:t>
      </w:r>
      <w:r>
        <w:rPr>
          <w:rFonts w:ascii="Palatino Linotype" w:hAnsi="Palatino Linotype"/>
        </w:rPr>
        <w:t xml:space="preserve">, [1917]. ‘The Tragedy of Woman’s Emancipation’ in </w:t>
      </w:r>
      <w:r>
        <w:rPr>
          <w:rFonts w:ascii="Palatino Linotype" w:hAnsi="Palatino Linotype"/>
          <w:i/>
          <w:iCs/>
        </w:rPr>
        <w:t>Anarchism and Other Essays</w:t>
      </w:r>
      <w:r>
        <w:rPr>
          <w:rFonts w:ascii="Palatino Linotype" w:hAnsi="Palatino Linotype"/>
        </w:rPr>
        <w:t xml:space="preserve"> (Dover Publications, 2012)</w:t>
      </w:r>
    </w:p>
    <w:p w14:paraId="5DB0FBEB" w14:textId="77777777" w:rsidR="00C16F34" w:rsidRDefault="00344A42">
      <w:pPr>
        <w:ind w:left="426"/>
        <w:rPr>
          <w:rFonts w:ascii="Palatino Linotype" w:hAnsi="Palatino Linotype"/>
          <w:sz w:val="18"/>
          <w:szCs w:val="18"/>
        </w:rPr>
      </w:pPr>
      <w:r>
        <w:rPr>
          <w:rFonts w:ascii="Palatino Linotype" w:hAnsi="Palatino Linotype"/>
          <w:sz w:val="18"/>
          <w:szCs w:val="18"/>
        </w:rPr>
        <w:t xml:space="preserve">Goldman’s views included defences of political violence (which later she seemed to repudiate, but largely on pragmatic – not necessarily moral – grounds) and, more relevant to this topic, a deep mistrust of democracy and the ‘masses’ of ordinary people: see (also in this volume of essays) ‘Minorities Verses Majorities’ and ‘Woman Suffrage’ (in which she argues that voting rights for woman do not matter). See also ‘Marriage and Love’, for a discussion of marriage as an </w:t>
      </w:r>
      <w:r>
        <w:rPr>
          <w:rFonts w:ascii="Palatino Linotype" w:hAnsi="Palatino Linotype"/>
          <w:i/>
          <w:iCs/>
          <w:sz w:val="18"/>
          <w:szCs w:val="18"/>
        </w:rPr>
        <w:t>institution</w:t>
      </w:r>
      <w:r>
        <w:rPr>
          <w:rFonts w:ascii="Palatino Linotype" w:hAnsi="Palatino Linotype"/>
          <w:sz w:val="18"/>
          <w:szCs w:val="18"/>
        </w:rPr>
        <w:t xml:space="preserve">, distinct from the love which Goldman emphasises the importance of in ‘The Tragedy…’. </w:t>
      </w:r>
    </w:p>
    <w:p w14:paraId="69BD42D5" w14:textId="77777777" w:rsidR="00C16F34" w:rsidRDefault="00C16F34">
      <w:pPr>
        <w:ind w:left="142" w:hanging="142"/>
        <w:rPr>
          <w:rFonts w:ascii="Palatino Linotype" w:hAnsi="Palatino Linotype"/>
        </w:rPr>
      </w:pPr>
    </w:p>
    <w:p w14:paraId="1CB9C4C4" w14:textId="77777777" w:rsidR="00C16F34" w:rsidRDefault="00344A42">
      <w:pPr>
        <w:pStyle w:val="Heading3"/>
        <w:rPr>
          <w:rFonts w:ascii="Palatino Linotype" w:hAnsi="Palatino Linotype"/>
        </w:rPr>
      </w:pPr>
      <w:r>
        <w:rPr>
          <w:rFonts w:ascii="Palatino Linotype" w:hAnsi="Palatino Linotype"/>
        </w:rPr>
        <w:t>Week 9:</w:t>
      </w:r>
    </w:p>
    <w:p w14:paraId="1DBE4F73" w14:textId="77777777" w:rsidR="00C16F34" w:rsidRDefault="00344A42">
      <w:pPr>
        <w:pStyle w:val="Heading3"/>
        <w:rPr>
          <w:rFonts w:ascii="Palatino Linotype" w:hAnsi="Palatino Linotype"/>
          <w:u w:val="single"/>
        </w:rPr>
      </w:pPr>
      <w:r>
        <w:rPr>
          <w:rFonts w:ascii="Palatino Linotype" w:hAnsi="Palatino Linotype"/>
          <w:u w:val="single"/>
        </w:rPr>
        <w:t>Property and the Need for Government</w:t>
      </w:r>
    </w:p>
    <w:p w14:paraId="28FAA3C1" w14:textId="77777777" w:rsidR="00C16F34" w:rsidRDefault="00344A42">
      <w:pPr>
        <w:ind w:left="142" w:hanging="142"/>
        <w:rPr>
          <w:rFonts w:ascii="Palatino Linotype" w:hAnsi="Palatino Linotype"/>
        </w:rPr>
      </w:pPr>
      <w:r>
        <w:rPr>
          <w:rFonts w:ascii="Palatino Linotype" w:hAnsi="Palatino Linotype"/>
          <w:b/>
          <w:bCs/>
        </w:rPr>
        <w:t xml:space="preserve">*Petr Kropotkin, </w:t>
      </w:r>
      <w:r>
        <w:rPr>
          <w:rFonts w:ascii="Palatino Linotype" w:hAnsi="Palatino Linotype"/>
        </w:rPr>
        <w:t xml:space="preserve">[1913]. </w:t>
      </w:r>
      <w:r>
        <w:rPr>
          <w:rFonts w:ascii="Palatino Linotype" w:hAnsi="Palatino Linotype"/>
          <w:i/>
          <w:iCs/>
        </w:rPr>
        <w:t>The Conquest of Bread</w:t>
      </w:r>
      <w:r>
        <w:rPr>
          <w:rFonts w:ascii="Palatino Linotype" w:hAnsi="Palatino Linotype"/>
        </w:rPr>
        <w:t xml:space="preserve"> (Cambridge: CUP), Chapter 1 Section II. (There is an online version of the complete text available via </w:t>
      </w:r>
      <w:hyperlink r:id="rId12" w:history="1">
        <w:r w:rsidR="00C16F34">
          <w:rPr>
            <w:rStyle w:val="Hyperlink"/>
            <w:rFonts w:ascii="Palatino Linotype" w:hAnsi="Palatino Linotype"/>
          </w:rPr>
          <w:t>Project Guttenberg</w:t>
        </w:r>
      </w:hyperlink>
      <w:r>
        <w:rPr>
          <w:rFonts w:ascii="Palatino Linotype" w:hAnsi="Palatino Linotype"/>
        </w:rPr>
        <w:t>.)</w:t>
      </w:r>
    </w:p>
    <w:p w14:paraId="3268E6B3" w14:textId="77777777" w:rsidR="00C16F34" w:rsidRDefault="00344A42">
      <w:pPr>
        <w:ind w:left="142" w:hanging="142"/>
        <w:rPr>
          <w:rFonts w:ascii="Palatino Linotype" w:hAnsi="Palatino Linotype"/>
        </w:rPr>
      </w:pPr>
      <w:r>
        <w:rPr>
          <w:rFonts w:ascii="Palatino Linotype" w:hAnsi="Palatino Linotype"/>
          <w:b/>
          <w:bCs/>
        </w:rPr>
        <w:t>*Jeffrey Brennan</w:t>
      </w:r>
      <w:r>
        <w:rPr>
          <w:rFonts w:ascii="Palatino Linotype" w:hAnsi="Palatino Linotype"/>
        </w:rPr>
        <w:t xml:space="preserve">, </w:t>
      </w:r>
      <w:r>
        <w:rPr>
          <w:rFonts w:ascii="Palatino Linotype" w:hAnsi="Palatino Linotype"/>
          <w:i/>
          <w:iCs/>
        </w:rPr>
        <w:t>Why Not Capitalism?</w:t>
      </w:r>
      <w:r>
        <w:rPr>
          <w:rFonts w:ascii="Palatino Linotype" w:hAnsi="Palatino Linotype"/>
        </w:rPr>
        <w:t xml:space="preserve"> (Oxford: Routledge, 2014), Chapter 4.</w:t>
      </w:r>
    </w:p>
    <w:p w14:paraId="7D6734B8" w14:textId="77777777" w:rsidR="00C16F34" w:rsidRDefault="00344A42">
      <w:pPr>
        <w:ind w:left="426"/>
        <w:rPr>
          <w:rFonts w:ascii="Palatino Linotype" w:hAnsi="Palatino Linotype"/>
          <w:sz w:val="18"/>
          <w:szCs w:val="18"/>
        </w:rPr>
      </w:pPr>
      <w:r>
        <w:rPr>
          <w:rFonts w:ascii="Palatino Linotype" w:hAnsi="Palatino Linotype"/>
          <w:sz w:val="18"/>
          <w:szCs w:val="18"/>
        </w:rPr>
        <w:t xml:space="preserve">(Read Chapter 2 as background.) The chapter argues that property ownership is important because of the role it plays in allowing us to pursue our projects and identify with those projects, amongst other things. Property ownership is not (as perhaps Kant thought?) just a necessary protection </w:t>
      </w:r>
      <w:r>
        <w:rPr>
          <w:rFonts w:ascii="Palatino Linotype" w:hAnsi="Palatino Linotype"/>
          <w:i/>
          <w:iCs/>
          <w:sz w:val="18"/>
          <w:szCs w:val="18"/>
        </w:rPr>
        <w:t>from</w:t>
      </w:r>
      <w:r>
        <w:rPr>
          <w:rFonts w:ascii="Palatino Linotype" w:hAnsi="Palatino Linotype"/>
          <w:sz w:val="18"/>
          <w:szCs w:val="18"/>
        </w:rPr>
        <w:t xml:space="preserve"> </w:t>
      </w:r>
      <w:r>
        <w:rPr>
          <w:rFonts w:ascii="Palatino Linotype" w:hAnsi="Palatino Linotype"/>
          <w:i/>
          <w:iCs/>
          <w:sz w:val="18"/>
          <w:szCs w:val="18"/>
        </w:rPr>
        <w:t>others</w:t>
      </w:r>
      <w:r>
        <w:rPr>
          <w:rFonts w:ascii="Palatino Linotype" w:hAnsi="Palatino Linotype"/>
          <w:sz w:val="18"/>
          <w:szCs w:val="18"/>
        </w:rPr>
        <w:t xml:space="preserve">; it is necessary for our own flourishing regardless of the threats posed or not posed by others. </w:t>
      </w:r>
    </w:p>
    <w:p w14:paraId="7B5E72EC" w14:textId="77777777" w:rsidR="00C16F34" w:rsidRDefault="00344A42">
      <w:pPr>
        <w:ind w:left="142" w:hanging="142"/>
        <w:rPr>
          <w:rFonts w:ascii="Palatino Linotype" w:hAnsi="Palatino Linotype"/>
          <w:sz w:val="20"/>
          <w:szCs w:val="20"/>
        </w:rPr>
      </w:pPr>
      <w:r>
        <w:rPr>
          <w:rFonts w:ascii="Palatino Linotype" w:hAnsi="Palatino Linotype"/>
          <w:b/>
          <w:bCs/>
          <w:sz w:val="20"/>
          <w:szCs w:val="20"/>
        </w:rPr>
        <w:t>Pierre-Joseph Proudhon</w:t>
      </w:r>
      <w:r>
        <w:rPr>
          <w:rFonts w:ascii="Palatino Linotype" w:hAnsi="Palatino Linotype"/>
          <w:sz w:val="20"/>
          <w:szCs w:val="20"/>
        </w:rPr>
        <w:t xml:space="preserve">, [1840]. </w:t>
      </w:r>
      <w:r>
        <w:rPr>
          <w:rFonts w:ascii="Palatino Linotype" w:hAnsi="Palatino Linotype"/>
          <w:i/>
          <w:iCs/>
          <w:sz w:val="20"/>
          <w:szCs w:val="20"/>
        </w:rPr>
        <w:t>What is Property? An Enquiry into the Principle of Right and of Government</w:t>
      </w:r>
      <w:r>
        <w:rPr>
          <w:rFonts w:ascii="Palatino Linotype" w:hAnsi="Palatino Linotype"/>
          <w:sz w:val="20"/>
          <w:szCs w:val="20"/>
        </w:rPr>
        <w:t xml:space="preserve">, available online at </w:t>
      </w:r>
      <w:hyperlink r:id="rId13" w:history="1">
        <w:r w:rsidR="00C16F34">
          <w:rPr>
            <w:rStyle w:val="Hyperlink"/>
            <w:rFonts w:ascii="Palatino Linotype" w:hAnsi="Palatino Linotype"/>
            <w:sz w:val="20"/>
            <w:szCs w:val="20"/>
          </w:rPr>
          <w:t>Project Guttenberg</w:t>
        </w:r>
      </w:hyperlink>
      <w:r>
        <w:rPr>
          <w:rFonts w:ascii="Palatino Linotype" w:hAnsi="Palatino Linotype"/>
          <w:sz w:val="20"/>
          <w:szCs w:val="20"/>
        </w:rPr>
        <w:t xml:space="preserve">. </w:t>
      </w:r>
    </w:p>
    <w:p w14:paraId="716BC024" w14:textId="77777777" w:rsidR="00C16F34" w:rsidRDefault="00344A42">
      <w:pPr>
        <w:ind w:left="142" w:hanging="142"/>
        <w:rPr>
          <w:rFonts w:ascii="Palatino Linotype" w:hAnsi="Palatino Linotype"/>
        </w:rPr>
      </w:pPr>
      <w:r>
        <w:rPr>
          <w:rFonts w:ascii="Palatino Linotype" w:hAnsi="Palatino Linotype"/>
          <w:b/>
          <w:bCs/>
        </w:rPr>
        <w:t>*Jean</w:t>
      </w:r>
      <w:r>
        <w:rPr>
          <w:rFonts w:ascii="Palatino Linotype" w:hAnsi="Palatino Linotype"/>
          <w:b/>
          <w:bCs/>
          <w:color w:val="3A3A3A"/>
          <w:shd w:val="clear" w:color="auto" w:fill="F3F3F3"/>
        </w:rPr>
        <w:t>-</w:t>
      </w:r>
      <w:r>
        <w:rPr>
          <w:rFonts w:ascii="Palatino Linotype" w:hAnsi="Palatino Linotype"/>
          <w:b/>
          <w:bCs/>
        </w:rPr>
        <w:t>Jacques Rousseau</w:t>
      </w:r>
      <w:r>
        <w:rPr>
          <w:rFonts w:ascii="Palatino Linotype" w:hAnsi="Palatino Linotype"/>
        </w:rPr>
        <w:t xml:space="preserve">, [1755]. </w:t>
      </w:r>
      <w:r>
        <w:rPr>
          <w:rFonts w:ascii="Palatino Linotype" w:hAnsi="Palatino Linotype" w:cs="Arial"/>
          <w:i/>
          <w:iCs/>
          <w:color w:val="000000"/>
          <w:shd w:val="clear" w:color="auto" w:fill="FFFFFF"/>
        </w:rPr>
        <w:t>Discourse on the Origin and the Foun</w:t>
      </w:r>
      <w:r>
        <w:rPr>
          <w:rFonts w:ascii="Palatino Linotype" w:hAnsi="Palatino Linotype"/>
          <w:i/>
          <w:iCs/>
        </w:rPr>
        <w:t xml:space="preserve">dations of Inequality Among Men </w:t>
      </w:r>
      <w:r>
        <w:rPr>
          <w:rFonts w:ascii="Palatino Linotype" w:hAnsi="Palatino Linotype"/>
        </w:rPr>
        <w:t xml:space="preserve">(or ‘Second Discourse’), in Victor </w:t>
      </w:r>
      <w:proofErr w:type="spellStart"/>
      <w:r>
        <w:rPr>
          <w:rFonts w:ascii="Palatino Linotype" w:hAnsi="Palatino Linotype"/>
        </w:rPr>
        <w:t>Gourevitch</w:t>
      </w:r>
      <w:proofErr w:type="spellEnd"/>
      <w:r>
        <w:rPr>
          <w:rFonts w:ascii="Palatino Linotype" w:hAnsi="Palatino Linotype"/>
        </w:rPr>
        <w:t xml:space="preserve"> (ed.), </w:t>
      </w:r>
      <w:r>
        <w:rPr>
          <w:rFonts w:ascii="Palatino Linotype" w:hAnsi="Palatino Linotype"/>
          <w:i/>
          <w:iCs/>
        </w:rPr>
        <w:t xml:space="preserve">Rousseau: The Discourses and Other Early Political Writings </w:t>
      </w:r>
      <w:r>
        <w:rPr>
          <w:rFonts w:ascii="Palatino Linotype" w:hAnsi="Palatino Linotype"/>
        </w:rPr>
        <w:t>(Cambridge: CUP, 2019)</w:t>
      </w:r>
    </w:p>
    <w:p w14:paraId="4DB72162" w14:textId="77777777" w:rsidR="00C16F34" w:rsidRDefault="00344A42">
      <w:pPr>
        <w:rPr>
          <w:rFonts w:ascii="Palatino Linotype" w:hAnsi="Palatino Linotype"/>
          <w:sz w:val="20"/>
          <w:szCs w:val="20"/>
        </w:rPr>
      </w:pPr>
      <w:r>
        <w:rPr>
          <w:rFonts w:ascii="Palatino Linotype" w:hAnsi="Palatino Linotype"/>
          <w:b/>
          <w:bCs/>
          <w:sz w:val="20"/>
          <w:szCs w:val="20"/>
        </w:rPr>
        <w:t>John Finnis</w:t>
      </w:r>
      <w:r>
        <w:rPr>
          <w:rFonts w:ascii="Palatino Linotype" w:hAnsi="Palatino Linotype"/>
          <w:sz w:val="20"/>
          <w:szCs w:val="20"/>
        </w:rPr>
        <w:t xml:space="preserve">, 1994. ‘Liberalism and Natural Law Theory’, </w:t>
      </w:r>
      <w:r>
        <w:rPr>
          <w:rFonts w:ascii="Palatino Linotype" w:hAnsi="Palatino Linotype"/>
          <w:i/>
          <w:iCs/>
          <w:sz w:val="20"/>
          <w:szCs w:val="20"/>
        </w:rPr>
        <w:t>Mercer Law Review</w:t>
      </w:r>
      <w:r>
        <w:rPr>
          <w:rFonts w:ascii="Palatino Linotype" w:hAnsi="Palatino Linotype"/>
          <w:sz w:val="20"/>
          <w:szCs w:val="20"/>
        </w:rPr>
        <w:t xml:space="preserve"> 45:687  </w:t>
      </w:r>
      <w:hyperlink r:id="rId14" w:history="1">
        <w:r w:rsidR="00C16F34">
          <w:rPr>
            <w:rStyle w:val="Hyperlink"/>
            <w:rFonts w:ascii="Palatino Linotype" w:hAnsi="Palatino Linotype"/>
            <w:sz w:val="20"/>
            <w:szCs w:val="20"/>
          </w:rPr>
          <w:t>available here</w:t>
        </w:r>
      </w:hyperlink>
      <w:r>
        <w:rPr>
          <w:rFonts w:ascii="Palatino Linotype" w:hAnsi="Palatino Linotype"/>
          <w:sz w:val="20"/>
          <w:szCs w:val="20"/>
        </w:rPr>
        <w:t>.</w:t>
      </w:r>
    </w:p>
    <w:p w14:paraId="058893A2" w14:textId="77777777" w:rsidR="00C16F34" w:rsidRDefault="00344A42">
      <w:pPr>
        <w:ind w:left="567"/>
        <w:rPr>
          <w:rFonts w:ascii="Palatino Linotype" w:hAnsi="Palatino Linotype"/>
          <w:sz w:val="18"/>
          <w:szCs w:val="18"/>
        </w:rPr>
      </w:pPr>
      <w:r>
        <w:rPr>
          <w:rFonts w:ascii="Palatino Linotype" w:hAnsi="Palatino Linotype"/>
          <w:sz w:val="18"/>
          <w:szCs w:val="18"/>
        </w:rPr>
        <w:t xml:space="preserve">A revised version of the essay is in </w:t>
      </w:r>
      <w:hyperlink r:id="rId15" w:history="1">
        <w:r w:rsidR="00C16F34">
          <w:rPr>
            <w:rStyle w:val="Hyperlink"/>
            <w:rFonts w:ascii="Palatino Linotype" w:hAnsi="Palatino Linotype"/>
            <w:i/>
            <w:iCs/>
            <w:color w:val="auto"/>
            <w:sz w:val="18"/>
            <w:szCs w:val="18"/>
            <w:u w:val="none"/>
          </w:rPr>
          <w:t>Human Rights and Common Good: Collected Essays Volume III</w:t>
        </w:r>
      </w:hyperlink>
      <w:r>
        <w:rPr>
          <w:rFonts w:ascii="Palatino Linotype" w:hAnsi="Palatino Linotype"/>
          <w:sz w:val="18"/>
          <w:szCs w:val="18"/>
        </w:rPr>
        <w:t xml:space="preserve"> (Oxford: OUP).</w:t>
      </w:r>
    </w:p>
    <w:p w14:paraId="639457F6" w14:textId="77777777" w:rsidR="00C16F34" w:rsidRDefault="00C16F34">
      <w:pPr>
        <w:ind w:left="142" w:hanging="142"/>
        <w:rPr>
          <w:rFonts w:ascii="Palatino Linotype" w:hAnsi="Palatino Linotype"/>
        </w:rPr>
      </w:pPr>
    </w:p>
    <w:p w14:paraId="4CFF555A" w14:textId="77777777" w:rsidR="00C16F34" w:rsidRDefault="00344A42">
      <w:pPr>
        <w:pStyle w:val="Heading3"/>
        <w:rPr>
          <w:rFonts w:ascii="Palatino Linotype" w:hAnsi="Palatino Linotype"/>
        </w:rPr>
      </w:pPr>
      <w:r>
        <w:rPr>
          <w:rFonts w:ascii="Palatino Linotype" w:hAnsi="Palatino Linotype"/>
        </w:rPr>
        <w:t>Week 10:</w:t>
      </w:r>
    </w:p>
    <w:p w14:paraId="7A7A477E" w14:textId="77777777" w:rsidR="00C16F34" w:rsidRDefault="00344A42">
      <w:pPr>
        <w:pStyle w:val="Heading3"/>
        <w:rPr>
          <w:rFonts w:ascii="Palatino Linotype" w:hAnsi="Palatino Linotype"/>
          <w:u w:val="single"/>
        </w:rPr>
      </w:pPr>
      <w:r>
        <w:rPr>
          <w:rFonts w:ascii="Palatino Linotype" w:hAnsi="Palatino Linotype"/>
          <w:u w:val="single"/>
        </w:rPr>
        <w:t>Utopias, Ideal Theory and the Relation Between Justice and Practicality</w:t>
      </w:r>
    </w:p>
    <w:p w14:paraId="401598E5" w14:textId="77777777" w:rsidR="00C16F34" w:rsidRDefault="00344A42">
      <w:pPr>
        <w:ind w:left="142" w:hanging="142"/>
        <w:rPr>
          <w:rFonts w:ascii="Palatino Linotype" w:hAnsi="Palatino Linotype"/>
        </w:rPr>
      </w:pPr>
      <w:r>
        <w:rPr>
          <w:rFonts w:ascii="Palatino Linotype" w:hAnsi="Palatino Linotype"/>
          <w:b/>
          <w:bCs/>
        </w:rPr>
        <w:t>*David Estlund</w:t>
      </w:r>
      <w:r>
        <w:rPr>
          <w:rFonts w:ascii="Palatino Linotype" w:hAnsi="Palatino Linotype"/>
        </w:rPr>
        <w:t>, 2014. ‘</w:t>
      </w:r>
      <w:proofErr w:type="spellStart"/>
      <w:r>
        <w:rPr>
          <w:rFonts w:ascii="Palatino Linotype" w:hAnsi="Palatino Linotype"/>
        </w:rPr>
        <w:t>Utopophobia</w:t>
      </w:r>
      <w:proofErr w:type="spellEnd"/>
      <w:r>
        <w:rPr>
          <w:rFonts w:ascii="Palatino Linotype" w:hAnsi="Palatino Linotype"/>
        </w:rPr>
        <w:t xml:space="preserve">’, </w:t>
      </w:r>
      <w:r>
        <w:rPr>
          <w:rFonts w:ascii="Palatino Linotype" w:hAnsi="Palatino Linotype"/>
          <w:i/>
          <w:iCs/>
        </w:rPr>
        <w:t>Philosophy and Public Affairs</w:t>
      </w:r>
      <w:r>
        <w:rPr>
          <w:rFonts w:ascii="Palatino Linotype" w:hAnsi="Palatino Linotype"/>
        </w:rPr>
        <w:t xml:space="preserve"> 42:2, pp. 113–34 </w:t>
      </w:r>
    </w:p>
    <w:p w14:paraId="1797673B" w14:textId="77777777" w:rsidR="00C16F34" w:rsidRDefault="00344A42">
      <w:pPr>
        <w:ind w:left="426"/>
        <w:rPr>
          <w:rFonts w:ascii="Palatino Linotype" w:hAnsi="Palatino Linotype"/>
          <w:sz w:val="20"/>
          <w:szCs w:val="20"/>
        </w:rPr>
      </w:pPr>
      <w:r>
        <w:rPr>
          <w:rFonts w:ascii="Palatino Linotype" w:hAnsi="Palatino Linotype"/>
          <w:sz w:val="20"/>
          <w:szCs w:val="20"/>
        </w:rPr>
        <w:t xml:space="preserve">Estlund’s view is defended in more detail in his book </w:t>
      </w:r>
      <w:proofErr w:type="spellStart"/>
      <w:r>
        <w:rPr>
          <w:rFonts w:ascii="Palatino Linotype" w:hAnsi="Palatino Linotype"/>
          <w:i/>
          <w:iCs/>
          <w:sz w:val="20"/>
          <w:szCs w:val="20"/>
        </w:rPr>
        <w:t>Utopophia</w:t>
      </w:r>
      <w:proofErr w:type="spellEnd"/>
      <w:r>
        <w:rPr>
          <w:rFonts w:ascii="Palatino Linotype" w:hAnsi="Palatino Linotype"/>
          <w:i/>
          <w:iCs/>
          <w:sz w:val="20"/>
          <w:szCs w:val="20"/>
        </w:rPr>
        <w:t>: On the Limits (If Any) of Political Philosophy</w:t>
      </w:r>
      <w:r>
        <w:rPr>
          <w:rFonts w:ascii="Palatino Linotype" w:hAnsi="Palatino Linotype"/>
          <w:sz w:val="20"/>
          <w:szCs w:val="20"/>
        </w:rPr>
        <w:t xml:space="preserve"> (New York: Princeton University Press, 2019).</w:t>
      </w:r>
    </w:p>
    <w:p w14:paraId="265FF456" w14:textId="77777777" w:rsidR="00C16F34" w:rsidRDefault="00344A42">
      <w:pPr>
        <w:ind w:left="142" w:hanging="142"/>
        <w:rPr>
          <w:rFonts w:ascii="Palatino Linotype" w:hAnsi="Palatino Linotype"/>
        </w:rPr>
      </w:pPr>
      <w:r>
        <w:rPr>
          <w:rFonts w:ascii="Palatino Linotype" w:hAnsi="Palatino Linotype"/>
          <w:b/>
          <w:bCs/>
        </w:rPr>
        <w:lastRenderedPageBreak/>
        <w:t>*Geoffrey Brennan &amp; Geoffrey Sayre-McCord</w:t>
      </w:r>
      <w:r>
        <w:rPr>
          <w:rFonts w:ascii="Palatino Linotype" w:hAnsi="Palatino Linotype"/>
        </w:rPr>
        <w:t xml:space="preserve">, 2021. ‘Real World Theory, Complacency, and Aspiration’, </w:t>
      </w:r>
      <w:r>
        <w:rPr>
          <w:rFonts w:ascii="Palatino Linotype" w:hAnsi="Palatino Linotype"/>
          <w:i/>
          <w:iCs/>
        </w:rPr>
        <w:t>Philosophical Studies</w:t>
      </w:r>
      <w:r>
        <w:rPr>
          <w:rFonts w:ascii="Palatino Linotype" w:hAnsi="Palatino Linotype"/>
        </w:rPr>
        <w:t xml:space="preserve"> 178, pp. 2365–84 </w:t>
      </w:r>
    </w:p>
    <w:p w14:paraId="4A2D6008" w14:textId="77777777" w:rsidR="00C16F34" w:rsidRDefault="00344A42">
      <w:pPr>
        <w:ind w:left="426"/>
        <w:rPr>
          <w:rFonts w:ascii="Palatino Linotype" w:hAnsi="Palatino Linotype"/>
          <w:sz w:val="20"/>
          <w:szCs w:val="20"/>
        </w:rPr>
      </w:pPr>
      <w:r>
        <w:rPr>
          <w:rFonts w:ascii="Palatino Linotype" w:hAnsi="Palatino Linotype"/>
          <w:sz w:val="18"/>
          <w:szCs w:val="18"/>
        </w:rPr>
        <w:t>Criticising Estlund’s view</w:t>
      </w:r>
      <w:r>
        <w:rPr>
          <w:rFonts w:ascii="Palatino Linotype" w:hAnsi="Palatino Linotype"/>
          <w:sz w:val="20"/>
          <w:szCs w:val="20"/>
        </w:rPr>
        <w:t>, targeting the more sustained defence in his book (cited in previous note).</w:t>
      </w:r>
    </w:p>
    <w:p w14:paraId="49C9F61C" w14:textId="77777777" w:rsidR="00C16F34" w:rsidRDefault="00344A42">
      <w:pPr>
        <w:ind w:left="142" w:hanging="142"/>
        <w:rPr>
          <w:rFonts w:ascii="Palatino Linotype" w:hAnsi="Palatino Linotype"/>
          <w:sz w:val="20"/>
          <w:szCs w:val="20"/>
          <w:lang w:eastAsia="en-GB"/>
        </w:rPr>
      </w:pPr>
      <w:r>
        <w:rPr>
          <w:rFonts w:ascii="Palatino Linotype" w:hAnsi="Palatino Linotype" w:cs="Mongolian Baiti"/>
          <w:b/>
          <w:bCs/>
          <w:sz w:val="20"/>
          <w:szCs w:val="20"/>
        </w:rPr>
        <w:t>Justin Weinberg</w:t>
      </w:r>
      <w:r>
        <w:rPr>
          <w:rFonts w:ascii="Palatino Linotype" w:hAnsi="Palatino Linotype" w:cs="Mongolian Baiti"/>
          <w:sz w:val="20"/>
          <w:szCs w:val="20"/>
        </w:rPr>
        <w:t xml:space="preserve">, </w:t>
      </w:r>
      <w:proofErr w:type="spellStart"/>
      <w:r>
        <w:rPr>
          <w:rFonts w:ascii="Palatino Linotype" w:hAnsi="Palatino Linotype" w:cs="Mongolian Baiti"/>
          <w:sz w:val="20"/>
          <w:szCs w:val="20"/>
        </w:rPr>
        <w:t>ms</w:t>
      </w:r>
      <w:proofErr w:type="spellEnd"/>
      <w:r>
        <w:rPr>
          <w:rFonts w:ascii="Palatino Linotype" w:hAnsi="Palatino Linotype" w:cs="Mongolian Baiti"/>
          <w:sz w:val="20"/>
          <w:szCs w:val="20"/>
        </w:rPr>
        <w:t xml:space="preserve"> [2010]. ‘A Little Reality is a Dangerous Thing’ [2010], available at: </w:t>
      </w:r>
      <w:hyperlink r:id="rId16" w:history="1">
        <w:r w:rsidR="00C16F34">
          <w:rPr>
            <w:rStyle w:val="15"/>
            <w:rFonts w:ascii="Palatino Linotype" w:hAnsi="Palatino Linotype"/>
            <w:sz w:val="20"/>
            <w:szCs w:val="20"/>
          </w:rPr>
          <w:t>https://www.cpsa-acsp.ca/papers-2010/Weinberg.pdf</w:t>
        </w:r>
      </w:hyperlink>
    </w:p>
    <w:p w14:paraId="63F37CE4" w14:textId="77777777" w:rsidR="00C16F34" w:rsidRDefault="00344A42">
      <w:pPr>
        <w:rPr>
          <w:rFonts w:ascii="Palatino Linotype" w:hAnsi="Palatino Linotype"/>
          <w:sz w:val="20"/>
          <w:szCs w:val="20"/>
          <w:lang w:eastAsia="en-GB"/>
        </w:rPr>
      </w:pPr>
      <w:r>
        <w:rPr>
          <w:rFonts w:ascii="Palatino Linotype" w:hAnsi="Palatino Linotype" w:cs="Mongolian Baiti"/>
          <w:b/>
          <w:bCs/>
          <w:sz w:val="20"/>
          <w:szCs w:val="20"/>
        </w:rPr>
        <w:t>Justin Weinberg</w:t>
      </w:r>
      <w:r>
        <w:rPr>
          <w:rFonts w:ascii="Palatino Linotype" w:hAnsi="Palatino Linotype" w:cs="Mongolian Baiti"/>
          <w:sz w:val="20"/>
          <w:szCs w:val="20"/>
        </w:rPr>
        <w:t xml:space="preserve">, 2013. ‘The Practicality of Political Philosophy’, </w:t>
      </w:r>
      <w:r>
        <w:rPr>
          <w:rFonts w:ascii="Palatino Linotype" w:hAnsi="Palatino Linotype" w:cs="Mongolian Baiti"/>
          <w:i/>
          <w:iCs/>
          <w:sz w:val="20"/>
          <w:szCs w:val="20"/>
        </w:rPr>
        <w:t>Social Philosophy and Policy</w:t>
      </w:r>
      <w:r>
        <w:rPr>
          <w:rFonts w:ascii="Palatino Linotype" w:hAnsi="Palatino Linotype" w:cs="Mongolian Baiti"/>
          <w:sz w:val="20"/>
          <w:szCs w:val="20"/>
        </w:rPr>
        <w:t xml:space="preserve"> 30:1-2</w:t>
      </w:r>
    </w:p>
    <w:p w14:paraId="0F0B262D" w14:textId="77777777" w:rsidR="00C16F34" w:rsidRDefault="00C16F34">
      <w:pPr>
        <w:ind w:left="142" w:hanging="142"/>
        <w:rPr>
          <w:rFonts w:ascii="Palatino Linotype" w:hAnsi="Palatino Linotype"/>
          <w:sz w:val="20"/>
          <w:szCs w:val="20"/>
        </w:rPr>
      </w:pPr>
    </w:p>
    <w:p w14:paraId="39C43CAD" w14:textId="77777777" w:rsidR="00C16F34" w:rsidRDefault="00344A42">
      <w:pPr>
        <w:pStyle w:val="Heading3"/>
      </w:pPr>
      <w:r>
        <w:t>Week 11: Essay Office Hours</w:t>
      </w:r>
    </w:p>
    <w:sectPr w:rsidR="00C16F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0FCF4" w14:textId="77777777" w:rsidR="00506D55" w:rsidRDefault="00506D55">
      <w:r>
        <w:separator/>
      </w:r>
    </w:p>
  </w:endnote>
  <w:endnote w:type="continuationSeparator" w:id="0">
    <w:p w14:paraId="29E9653A" w14:textId="77777777" w:rsidR="00506D55" w:rsidRDefault="00506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B1161" w14:textId="77777777" w:rsidR="00506D55" w:rsidRDefault="00506D55">
      <w:r>
        <w:separator/>
      </w:r>
    </w:p>
  </w:footnote>
  <w:footnote w:type="continuationSeparator" w:id="0">
    <w:p w14:paraId="57F73EF1" w14:textId="77777777" w:rsidR="00506D55" w:rsidRDefault="00506D55">
      <w:r>
        <w:continuationSeparator/>
      </w:r>
    </w:p>
  </w:footnote>
  <w:footnote w:id="1">
    <w:p w14:paraId="5BF3AE85" w14:textId="77777777" w:rsidR="00C16F34" w:rsidRDefault="00344A42">
      <w:pPr>
        <w:pStyle w:val="FootnoteText"/>
        <w:rPr>
          <w:rFonts w:ascii="Palatino Linotype" w:hAnsi="Palatino Linotype"/>
        </w:rPr>
      </w:pPr>
      <w:r>
        <w:rPr>
          <w:rStyle w:val="FootnoteReference"/>
          <w:rFonts w:ascii="Palatino Linotype" w:hAnsi="Palatino Linotype"/>
        </w:rPr>
        <w:footnoteRef/>
      </w:r>
      <w:r>
        <w:rPr>
          <w:rFonts w:ascii="Palatino Linotype" w:hAnsi="Palatino Linotype"/>
        </w:rPr>
        <w:t xml:space="preserve"> Just as ‘conservative’ with a small ‘c’ does not mean ‘Conservative’ with a capital ‘C’ (the latter pertains to the Conservative Party, a particular political party, whilst the former pertains to a much broader – and perhaps even completely different – thing: the Conservative Party might or might not count as conservative in the small ‘c’ sense), ‘republican’ with a small ‘r’ does not mean the same as ‘Republican’ with a capital ‘R’ (similarly, the latter pertains to a particular party in US politics – the</w:t>
      </w:r>
      <w:r>
        <w:rPr>
          <w:rFonts w:ascii="Palatino Linotype" w:hAnsi="Palatino Linotype"/>
        </w:rPr>
        <w:t xml:space="preserve"> Republican Party – whereas the former pertains to a broader – and perhaps even completely different – thing: the Republican Party might or might not count as republican in its ideas). (If you doubt that it makes sense to separate out these meanings, just think: I could set up a political party tomorrow and call it the Buddhist Socialist Party; but the fact that I </w:t>
      </w:r>
      <w:r>
        <w:rPr>
          <w:rFonts w:ascii="Palatino Linotype" w:hAnsi="Palatino Linotype"/>
          <w:i/>
          <w:iCs/>
        </w:rPr>
        <w:t>called</w:t>
      </w:r>
      <w:r>
        <w:rPr>
          <w:rFonts w:ascii="Palatino Linotype" w:hAnsi="Palatino Linotype"/>
        </w:rPr>
        <w:t xml:space="preserve"> it that wouldn’t guarantee that our policies are either Buddhist or socialist – we could still be called that if our policies in fact enco</w:t>
      </w:r>
      <w:r>
        <w:rPr>
          <w:rFonts w:ascii="Palatino Linotype" w:hAnsi="Palatino Linotype"/>
        </w:rPr>
        <w:t xml:space="preserve">ded Christian and capitalist principles!) We’ll spend a great deal of time in this module, of course, exploring conservatism with a small ‘c’ (and will pretty much ignore Conservatism with a capital ‘C’: the particular policies of particular parties, and the histories of those parties or policies, are not at all our concern here, in this </w:t>
      </w:r>
      <w:r>
        <w:rPr>
          <w:rFonts w:ascii="Palatino Linotype" w:hAnsi="Palatino Linotype"/>
          <w:i/>
          <w:iCs/>
        </w:rPr>
        <w:t>philosophy</w:t>
      </w:r>
      <w:r>
        <w:rPr>
          <w:rFonts w:ascii="Palatino Linotype" w:hAnsi="Palatino Linotype"/>
        </w:rPr>
        <w:t xml:space="preserve">, not politics, module). We will touch on republicanism (with a small ‘r’ – we’ll completely ignore Republicanism with a capital ‘R’), but only briefly. </w:t>
      </w:r>
    </w:p>
  </w:footnote>
  <w:footnote w:id="2">
    <w:p w14:paraId="2E7B117D" w14:textId="77777777" w:rsidR="00C16F34" w:rsidRDefault="00344A42">
      <w:pPr>
        <w:pStyle w:val="FootnoteText"/>
        <w:rPr>
          <w:rFonts w:ascii="Palatino Linotype" w:hAnsi="Palatino Linotype"/>
        </w:rPr>
      </w:pPr>
      <w:r>
        <w:rPr>
          <w:rStyle w:val="FootnoteReference"/>
          <w:rFonts w:ascii="Palatino Linotype" w:hAnsi="Palatino Linotype"/>
        </w:rPr>
        <w:footnoteRef/>
      </w:r>
      <w:r>
        <w:rPr>
          <w:rFonts w:ascii="Palatino Linotype" w:hAnsi="Palatino Linotype"/>
        </w:rPr>
        <w:t xml:space="preserve"> For interesting historical perspective on republicanism, especially as understood in the ancient and renaissance world, see Quentin Skinner, </w:t>
      </w:r>
      <w:r>
        <w:rPr>
          <w:rFonts w:ascii="Palatino Linotype" w:hAnsi="Palatino Linotype"/>
          <w:i/>
          <w:iCs/>
        </w:rPr>
        <w:t>Liberty Before Liberalism</w:t>
      </w:r>
      <w:r>
        <w:rPr>
          <w:rFonts w:ascii="Palatino Linotype" w:hAnsi="Palatino Linotype"/>
        </w:rPr>
        <w:t xml:space="preserve"> (Cambridge: Cambridge University Press, 1998). For the debate about the US Constitution, see Terence Ball (ed.), </w:t>
      </w:r>
      <w:r>
        <w:rPr>
          <w:rFonts w:ascii="Palatino Linotype" w:hAnsi="Palatino Linotype"/>
          <w:i/>
          <w:iCs/>
        </w:rPr>
        <w:t>The Federalist (With Letters of “Brutus”)</w:t>
      </w:r>
      <w:r>
        <w:rPr>
          <w:rFonts w:ascii="Palatino Linotype" w:hAnsi="Palatino Linotype"/>
        </w:rPr>
        <w:t xml:space="preserve"> (Cambridge: Cambridge University Press, 2003). This reprints the ‘Federalist Papers’ written by Alexander Hamilton, James Maddison and John Jay (no relation to me – that I know of!) defendi</w:t>
      </w:r>
      <w:r>
        <w:rPr>
          <w:rFonts w:ascii="Palatino Linotype" w:hAnsi="Palatino Linotype"/>
        </w:rPr>
        <w:t xml:space="preserve">ng the proposed federal constitution (which was eventually adopted), and a series of essays (by an anonymous “Brutus”) arguing against that constitution, in favour of maintaining a looser association of powerful individual states. Although I have not put this on the reading list for any weeks below, I probably won’t be able to resist referring to some of the arguments from this exchange in the lectures – perhaps especially the argument developed by Madison in </w:t>
      </w:r>
      <w:r>
        <w:rPr>
          <w:rFonts w:ascii="Palatino Linotype" w:hAnsi="Palatino Linotype"/>
          <w:i/>
          <w:iCs/>
        </w:rPr>
        <w:t>Federalist</w:t>
      </w:r>
      <w:r>
        <w:rPr>
          <w:rFonts w:ascii="Palatino Linotype" w:hAnsi="Palatino Linotype"/>
        </w:rPr>
        <w:t xml:space="preserve"> no. 10. </w:t>
      </w:r>
    </w:p>
  </w:footnote>
  <w:footnote w:id="3">
    <w:p w14:paraId="425AB4D6" w14:textId="77777777" w:rsidR="00C16F34" w:rsidRDefault="00344A42">
      <w:pPr>
        <w:pStyle w:val="FootnoteText"/>
        <w:rPr>
          <w:rFonts w:ascii="Palatino Linotype" w:hAnsi="Palatino Linotype"/>
        </w:rPr>
      </w:pPr>
      <w:r>
        <w:rPr>
          <w:rStyle w:val="FootnoteReference"/>
          <w:rFonts w:ascii="Palatino Linotype" w:hAnsi="Palatino Linotype"/>
        </w:rPr>
        <w:footnoteRef/>
      </w:r>
      <w:r>
        <w:rPr>
          <w:rFonts w:ascii="Palatino Linotype" w:hAnsi="Palatino Linotype"/>
        </w:rPr>
        <w:t xml:space="preserve"> I hope it is obvious that I am </w:t>
      </w:r>
      <w:r>
        <w:rPr>
          <w:rFonts w:ascii="Palatino Linotype" w:hAnsi="Palatino Linotype"/>
          <w:i/>
          <w:iCs/>
        </w:rPr>
        <w:t>not</w:t>
      </w:r>
      <w:r>
        <w:rPr>
          <w:rFonts w:ascii="Palatino Linotype" w:hAnsi="Palatino Linotype"/>
        </w:rPr>
        <w:t xml:space="preserve"> recommending or defending any kind of </w:t>
      </w:r>
      <w:r>
        <w:rPr>
          <w:rFonts w:ascii="Palatino Linotype" w:hAnsi="Palatino Linotype"/>
          <w:i/>
          <w:iCs/>
        </w:rPr>
        <w:t>relativism</w:t>
      </w:r>
      <w:r>
        <w:rPr>
          <w:rFonts w:ascii="Palatino Linotype" w:hAnsi="Palatino Linotype"/>
        </w:rPr>
        <w:t xml:space="preserve"> here: I am not suggesting that both sides in political debates are </w:t>
      </w:r>
      <w:r>
        <w:rPr>
          <w:rFonts w:ascii="Palatino Linotype" w:hAnsi="Palatino Linotype"/>
          <w:i/>
          <w:iCs/>
        </w:rPr>
        <w:t>correct</w:t>
      </w:r>
      <w:r>
        <w:rPr>
          <w:rFonts w:ascii="Palatino Linotype" w:hAnsi="Palatino Linotype"/>
        </w:rPr>
        <w:t xml:space="preserve">. I am simply pointing out that even if those whom we disagree with are </w:t>
      </w:r>
      <w:r>
        <w:rPr>
          <w:rFonts w:ascii="Palatino Linotype" w:hAnsi="Palatino Linotype"/>
          <w:i/>
          <w:iCs/>
        </w:rPr>
        <w:t>wrong</w:t>
      </w:r>
      <w:r>
        <w:rPr>
          <w:rFonts w:ascii="Palatino Linotype" w:hAnsi="Palatino Linotype"/>
        </w:rPr>
        <w:t xml:space="preserve">, and their ideas or policies should not be adopted, they might still be sensitive to similar moral concerns to us, and be led to their different views because they make different predictions about probabilities, or have different commitments in economic theory or the theory </w:t>
      </w:r>
      <w:r>
        <w:rPr>
          <w:rFonts w:ascii="Palatino Linotype" w:hAnsi="Palatino Linotype"/>
        </w:rPr>
        <w:t xml:space="preserve">of human nature etc., rather than because they are ignorant of moral principles which we hold dear. </w:t>
      </w:r>
    </w:p>
  </w:footnote>
  <w:footnote w:id="4">
    <w:p w14:paraId="2CD85A13" w14:textId="77777777" w:rsidR="00C16F34" w:rsidRDefault="00344A42">
      <w:pPr>
        <w:pStyle w:val="FootnoteText"/>
        <w:rPr>
          <w:rFonts w:ascii="Palatino Linotype" w:hAnsi="Palatino Linotype"/>
        </w:rPr>
      </w:pPr>
      <w:r>
        <w:rPr>
          <w:rStyle w:val="FootnoteReference"/>
          <w:rFonts w:ascii="Palatino Linotype" w:hAnsi="Palatino Linotype"/>
        </w:rPr>
        <w:footnoteRef/>
      </w:r>
      <w:r>
        <w:rPr>
          <w:rFonts w:ascii="Palatino Linotype" w:hAnsi="Palatino Linotype"/>
        </w:rPr>
        <w:t xml:space="preserve"> In Week 9, we will look at some conservative and anarchist ideas about feminism. To illustrate how dangerous it can be to make assumptions about what someone will think based just on which label is applied to them, consider the following comment: ‘</w:t>
      </w:r>
      <w:r>
        <w:rPr>
          <w:rFonts w:ascii="Palatino Linotype" w:hAnsi="Palatino Linotype"/>
          <w:color w:val="000000"/>
        </w:rPr>
        <w:t xml:space="preserve">Now, woman is confronted with the necessity of emancipating herself from emancipation’. I expect this sounds, to many of us, like the sort of thing we expect our representative of </w:t>
      </w:r>
      <w:r>
        <w:rPr>
          <w:rFonts w:ascii="Palatino Linotype" w:hAnsi="Palatino Linotype"/>
          <w:i/>
          <w:iCs/>
          <w:color w:val="000000"/>
        </w:rPr>
        <w:t>conservatism</w:t>
      </w:r>
      <w:r>
        <w:rPr>
          <w:rFonts w:ascii="Palatino Linotype" w:hAnsi="Palatino Linotype"/>
          <w:color w:val="000000"/>
        </w:rPr>
        <w:t xml:space="preserve"> to say, pushing back against the progressive feminist drive for emanci</w:t>
      </w:r>
      <w:r>
        <w:rPr>
          <w:rFonts w:ascii="Palatino Linotype" w:hAnsi="Palatino Linotype"/>
          <w:color w:val="000000"/>
        </w:rPr>
        <w:t xml:space="preserve">pation. But in fact, it is a comment by the </w:t>
      </w:r>
      <w:r>
        <w:rPr>
          <w:rFonts w:ascii="Palatino Linotype" w:hAnsi="Palatino Linotype"/>
          <w:i/>
          <w:iCs/>
          <w:color w:val="000000"/>
        </w:rPr>
        <w:t>anarchist</w:t>
      </w:r>
      <w:r>
        <w:rPr>
          <w:rFonts w:ascii="Palatino Linotype" w:hAnsi="Palatino Linotype"/>
          <w:color w:val="000000"/>
        </w:rPr>
        <w:t xml:space="preserve"> Emma Goldman. She, like many Marxist feminists, is just as suspicious of using legal mechanisms to achieve equality as many conservatives are – though for different reasons. (For discussion of the broader issues in feminist theory here, see e.g. Amia Srinivasan, ‘Sex, Carceralism, Capitalism’ in </w:t>
      </w:r>
      <w:r>
        <w:rPr>
          <w:rFonts w:ascii="Palatino Linotype" w:hAnsi="Palatino Linotype"/>
          <w:i/>
          <w:iCs/>
          <w:color w:val="000000"/>
        </w:rPr>
        <w:t>The Right to Sex</w:t>
      </w:r>
      <w:r>
        <w:rPr>
          <w:rFonts w:ascii="Palatino Linotype" w:hAnsi="Palatino Linotype"/>
          <w:color w:val="000000"/>
        </w:rPr>
        <w:t xml:space="preserve"> (London: Bloomsbury, 2021). That essay also contains useful references for some recent anarchist-friendly studies of non-state mechanisms of jus</w:t>
      </w:r>
      <w:r>
        <w:rPr>
          <w:rFonts w:ascii="Palatino Linotype" w:hAnsi="Palatino Linotype"/>
          <w:color w:val="000000"/>
        </w:rPr>
        <w:t>tice and crime prevention (</w:t>
      </w:r>
      <w:r>
        <w:rPr>
          <w:rFonts w:ascii="Palatino Linotype" w:hAnsi="Palatino Linotype"/>
          <w:i/>
          <w:iCs/>
          <w:color w:val="000000"/>
        </w:rPr>
        <w:t>ibid</w:t>
      </w:r>
      <w:r>
        <w:rPr>
          <w:rFonts w:ascii="Palatino Linotype" w:hAnsi="Palatino Linotype"/>
          <w:color w:val="000000"/>
        </w:rPr>
        <w:t xml:space="preserve">, n.100, pp. 229–30).) </w:t>
      </w:r>
    </w:p>
  </w:footnote>
  <w:footnote w:id="5">
    <w:p w14:paraId="030446B3" w14:textId="77777777" w:rsidR="00C16F34" w:rsidRDefault="00344A42">
      <w:pPr>
        <w:pStyle w:val="FootnoteText"/>
        <w:rPr>
          <w:rFonts w:ascii="Palatino Linotype" w:hAnsi="Palatino Linotype"/>
        </w:rPr>
      </w:pPr>
      <w:r>
        <w:rPr>
          <w:rStyle w:val="FootnoteReference"/>
          <w:rFonts w:ascii="Palatino Linotype" w:hAnsi="Palatino Linotype"/>
        </w:rPr>
        <w:footnoteRef/>
      </w:r>
      <w:r>
        <w:rPr>
          <w:rFonts w:ascii="Palatino Linotype" w:hAnsi="Palatino Linotype"/>
        </w:rPr>
        <w:t xml:space="preserve"> Remember, an </w:t>
      </w:r>
      <w:r>
        <w:rPr>
          <w:rFonts w:ascii="Palatino Linotype" w:hAnsi="Palatino Linotype"/>
          <w:i/>
          <w:iCs/>
        </w:rPr>
        <w:t>argument</w:t>
      </w:r>
      <w:r>
        <w:rPr>
          <w:rFonts w:ascii="Palatino Linotype" w:hAnsi="Palatino Linotype"/>
        </w:rPr>
        <w:t xml:space="preserve"> is a </w:t>
      </w:r>
      <w:r>
        <w:rPr>
          <w:rFonts w:ascii="Palatino Linotype" w:hAnsi="Palatino Linotype"/>
          <w:i/>
          <w:iCs/>
        </w:rPr>
        <w:t>set of propositions</w:t>
      </w:r>
      <w:r>
        <w:rPr>
          <w:rFonts w:ascii="Palatino Linotype" w:hAnsi="Palatino Linotype"/>
        </w:rPr>
        <w:t xml:space="preserve">: some propositions which are </w:t>
      </w:r>
      <w:r>
        <w:rPr>
          <w:rFonts w:ascii="Palatino Linotype" w:hAnsi="Palatino Linotype"/>
          <w:i/>
          <w:iCs/>
        </w:rPr>
        <w:t>premises</w:t>
      </w:r>
      <w:r>
        <w:rPr>
          <w:rFonts w:ascii="Palatino Linotype" w:hAnsi="Palatino Linotype"/>
        </w:rPr>
        <w:t xml:space="preserve"> or assumptions, and some propositions which are </w:t>
      </w:r>
      <w:r>
        <w:rPr>
          <w:rFonts w:ascii="Palatino Linotype" w:hAnsi="Palatino Linotype"/>
          <w:i/>
          <w:iCs/>
        </w:rPr>
        <w:t>conclusions</w:t>
      </w:r>
      <w:r>
        <w:rPr>
          <w:rFonts w:ascii="Palatino Linotype" w:hAnsi="Palatino Linotype"/>
        </w:rPr>
        <w:t xml:space="preserve"> which (putatively) follow from those premises. Arguments in this sense are not things</w:t>
      </w:r>
      <w:r>
        <w:rPr>
          <w:rFonts w:ascii="Palatino Linotype" w:hAnsi="Palatino Linotype"/>
          <w:i/>
          <w:iCs/>
        </w:rPr>
        <w:t xml:space="preserve"> said</w:t>
      </w:r>
      <w:r>
        <w:rPr>
          <w:rFonts w:ascii="Palatino Linotype" w:hAnsi="Palatino Linotype"/>
        </w:rPr>
        <w:t xml:space="preserve"> or </w:t>
      </w:r>
      <w:r>
        <w:rPr>
          <w:rFonts w:ascii="Palatino Linotype" w:hAnsi="Palatino Linotype"/>
          <w:i/>
          <w:iCs/>
        </w:rPr>
        <w:t xml:space="preserve">put forward </w:t>
      </w:r>
      <w:r>
        <w:rPr>
          <w:rFonts w:ascii="Palatino Linotype" w:hAnsi="Palatino Linotype"/>
        </w:rPr>
        <w:t xml:space="preserve">by someone, necessarily; they are philosophically (rather than sociologically, psychologically or biographically) interesting because they </w:t>
      </w:r>
      <w:r>
        <w:rPr>
          <w:rFonts w:ascii="Palatino Linotype" w:hAnsi="Palatino Linotype"/>
          <w:i/>
          <w:iCs/>
        </w:rPr>
        <w:t>might be appealed to</w:t>
      </w:r>
      <w:r>
        <w:rPr>
          <w:rFonts w:ascii="Palatino Linotype" w:hAnsi="Palatino Linotype"/>
        </w:rPr>
        <w:t xml:space="preserve"> if we want to know what to think, not because they </w:t>
      </w:r>
      <w:r>
        <w:rPr>
          <w:rFonts w:ascii="Palatino Linotype" w:hAnsi="Palatino Linotype"/>
          <w:i/>
          <w:iCs/>
        </w:rPr>
        <w:t>have been appealed to</w:t>
      </w:r>
      <w:r>
        <w:rPr>
          <w:rFonts w:ascii="Palatino Linotype" w:hAnsi="Palatino Linotype"/>
        </w:rPr>
        <w:t xml:space="preserve"> by any particular people.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D6B"/>
    <w:rsid w:val="000012E0"/>
    <w:rsid w:val="000028F5"/>
    <w:rsid w:val="0000411E"/>
    <w:rsid w:val="00004A53"/>
    <w:rsid w:val="000207BC"/>
    <w:rsid w:val="00031E3A"/>
    <w:rsid w:val="00043927"/>
    <w:rsid w:val="00054DA3"/>
    <w:rsid w:val="00063E25"/>
    <w:rsid w:val="00082A63"/>
    <w:rsid w:val="000840BD"/>
    <w:rsid w:val="000962E3"/>
    <w:rsid w:val="000A04EA"/>
    <w:rsid w:val="000A3595"/>
    <w:rsid w:val="000A3B48"/>
    <w:rsid w:val="000B4593"/>
    <w:rsid w:val="000C3936"/>
    <w:rsid w:val="000D2701"/>
    <w:rsid w:val="000E21BA"/>
    <w:rsid w:val="000E3AAE"/>
    <w:rsid w:val="000E5D74"/>
    <w:rsid w:val="000E6C83"/>
    <w:rsid w:val="000F4243"/>
    <w:rsid w:val="000F558F"/>
    <w:rsid w:val="00130B5D"/>
    <w:rsid w:val="00131E5F"/>
    <w:rsid w:val="00132128"/>
    <w:rsid w:val="001352DA"/>
    <w:rsid w:val="00144B5C"/>
    <w:rsid w:val="00147805"/>
    <w:rsid w:val="00153337"/>
    <w:rsid w:val="00155A81"/>
    <w:rsid w:val="001620E6"/>
    <w:rsid w:val="001635BF"/>
    <w:rsid w:val="001669ED"/>
    <w:rsid w:val="00171415"/>
    <w:rsid w:val="00172A26"/>
    <w:rsid w:val="001866D1"/>
    <w:rsid w:val="0019202E"/>
    <w:rsid w:val="00197C51"/>
    <w:rsid w:val="001A2896"/>
    <w:rsid w:val="001A38AF"/>
    <w:rsid w:val="001A4A24"/>
    <w:rsid w:val="001B5B6C"/>
    <w:rsid w:val="001B5C68"/>
    <w:rsid w:val="001C0B7B"/>
    <w:rsid w:val="001C39AB"/>
    <w:rsid w:val="001C6E5F"/>
    <w:rsid w:val="001D039C"/>
    <w:rsid w:val="001E24E8"/>
    <w:rsid w:val="001F2047"/>
    <w:rsid w:val="001F6BEE"/>
    <w:rsid w:val="002056D8"/>
    <w:rsid w:val="002121F5"/>
    <w:rsid w:val="002267D2"/>
    <w:rsid w:val="002272E7"/>
    <w:rsid w:val="002470C3"/>
    <w:rsid w:val="00247236"/>
    <w:rsid w:val="00262E53"/>
    <w:rsid w:val="00270935"/>
    <w:rsid w:val="00284986"/>
    <w:rsid w:val="0029228F"/>
    <w:rsid w:val="0029276A"/>
    <w:rsid w:val="00292BB7"/>
    <w:rsid w:val="002931B6"/>
    <w:rsid w:val="00297DF0"/>
    <w:rsid w:val="002A3571"/>
    <w:rsid w:val="002B039D"/>
    <w:rsid w:val="002B220D"/>
    <w:rsid w:val="002B245B"/>
    <w:rsid w:val="002E1920"/>
    <w:rsid w:val="002F195C"/>
    <w:rsid w:val="00301B43"/>
    <w:rsid w:val="0031372B"/>
    <w:rsid w:val="003223BC"/>
    <w:rsid w:val="003228BB"/>
    <w:rsid w:val="00326FF1"/>
    <w:rsid w:val="0032764A"/>
    <w:rsid w:val="00333097"/>
    <w:rsid w:val="00333E7B"/>
    <w:rsid w:val="00344A42"/>
    <w:rsid w:val="00347A18"/>
    <w:rsid w:val="00351985"/>
    <w:rsid w:val="00363CC9"/>
    <w:rsid w:val="00377806"/>
    <w:rsid w:val="0038195F"/>
    <w:rsid w:val="00382DBF"/>
    <w:rsid w:val="00383D30"/>
    <w:rsid w:val="00383D82"/>
    <w:rsid w:val="00385DA0"/>
    <w:rsid w:val="003A3DCA"/>
    <w:rsid w:val="003B24FB"/>
    <w:rsid w:val="003B49BB"/>
    <w:rsid w:val="003C25DE"/>
    <w:rsid w:val="003D2149"/>
    <w:rsid w:val="003E18D3"/>
    <w:rsid w:val="003E58F1"/>
    <w:rsid w:val="003F29EA"/>
    <w:rsid w:val="00404A62"/>
    <w:rsid w:val="00412932"/>
    <w:rsid w:val="00412BC3"/>
    <w:rsid w:val="00422C1C"/>
    <w:rsid w:val="00425586"/>
    <w:rsid w:val="00430605"/>
    <w:rsid w:val="004518D0"/>
    <w:rsid w:val="004610D3"/>
    <w:rsid w:val="0047265E"/>
    <w:rsid w:val="00486F8B"/>
    <w:rsid w:val="00487981"/>
    <w:rsid w:val="00494D33"/>
    <w:rsid w:val="004B385A"/>
    <w:rsid w:val="004B4CBC"/>
    <w:rsid w:val="004C07C4"/>
    <w:rsid w:val="004C0D7E"/>
    <w:rsid w:val="004C1CA8"/>
    <w:rsid w:val="004C5CB7"/>
    <w:rsid w:val="004D4E5A"/>
    <w:rsid w:val="004D5D4B"/>
    <w:rsid w:val="004E1050"/>
    <w:rsid w:val="004F3781"/>
    <w:rsid w:val="004F5EA3"/>
    <w:rsid w:val="004F6B3B"/>
    <w:rsid w:val="005010C0"/>
    <w:rsid w:val="0050149D"/>
    <w:rsid w:val="00505E27"/>
    <w:rsid w:val="00506D55"/>
    <w:rsid w:val="00507A42"/>
    <w:rsid w:val="0051473F"/>
    <w:rsid w:val="00527195"/>
    <w:rsid w:val="00533F47"/>
    <w:rsid w:val="00544F8C"/>
    <w:rsid w:val="00544FE9"/>
    <w:rsid w:val="005515EF"/>
    <w:rsid w:val="00573A09"/>
    <w:rsid w:val="00580288"/>
    <w:rsid w:val="0058746B"/>
    <w:rsid w:val="005A244C"/>
    <w:rsid w:val="005A306E"/>
    <w:rsid w:val="005A5EF4"/>
    <w:rsid w:val="005B1A13"/>
    <w:rsid w:val="005B638A"/>
    <w:rsid w:val="005B64FA"/>
    <w:rsid w:val="005C35F5"/>
    <w:rsid w:val="005C7080"/>
    <w:rsid w:val="005C719F"/>
    <w:rsid w:val="005E5D2A"/>
    <w:rsid w:val="00613DB4"/>
    <w:rsid w:val="00616287"/>
    <w:rsid w:val="00616D49"/>
    <w:rsid w:val="006216A0"/>
    <w:rsid w:val="006304B9"/>
    <w:rsid w:val="0063378F"/>
    <w:rsid w:val="00644CE8"/>
    <w:rsid w:val="006460DC"/>
    <w:rsid w:val="00657FA2"/>
    <w:rsid w:val="0066253C"/>
    <w:rsid w:val="006638C8"/>
    <w:rsid w:val="00672336"/>
    <w:rsid w:val="00674C5E"/>
    <w:rsid w:val="0067782E"/>
    <w:rsid w:val="006853C7"/>
    <w:rsid w:val="00693559"/>
    <w:rsid w:val="00697587"/>
    <w:rsid w:val="006A0737"/>
    <w:rsid w:val="006C0A55"/>
    <w:rsid w:val="006C1007"/>
    <w:rsid w:val="006E21DE"/>
    <w:rsid w:val="006E4F72"/>
    <w:rsid w:val="006F6FE9"/>
    <w:rsid w:val="00700939"/>
    <w:rsid w:val="00702F39"/>
    <w:rsid w:val="00720268"/>
    <w:rsid w:val="0072449E"/>
    <w:rsid w:val="00732289"/>
    <w:rsid w:val="00761ED1"/>
    <w:rsid w:val="00763412"/>
    <w:rsid w:val="00766D02"/>
    <w:rsid w:val="00767D09"/>
    <w:rsid w:val="00775CEC"/>
    <w:rsid w:val="00776788"/>
    <w:rsid w:val="00777A96"/>
    <w:rsid w:val="00786366"/>
    <w:rsid w:val="007A67B1"/>
    <w:rsid w:val="007B0A2B"/>
    <w:rsid w:val="007B28E2"/>
    <w:rsid w:val="007B7616"/>
    <w:rsid w:val="007D7ED2"/>
    <w:rsid w:val="007F02CF"/>
    <w:rsid w:val="007F19E5"/>
    <w:rsid w:val="0081452F"/>
    <w:rsid w:val="00815B6D"/>
    <w:rsid w:val="0082749D"/>
    <w:rsid w:val="00853B6E"/>
    <w:rsid w:val="0086696E"/>
    <w:rsid w:val="008703DB"/>
    <w:rsid w:val="00870D8B"/>
    <w:rsid w:val="00874ADE"/>
    <w:rsid w:val="008821D0"/>
    <w:rsid w:val="00894E4B"/>
    <w:rsid w:val="008A15CB"/>
    <w:rsid w:val="008A6A14"/>
    <w:rsid w:val="008A7F54"/>
    <w:rsid w:val="008B093F"/>
    <w:rsid w:val="008B1B58"/>
    <w:rsid w:val="008B3002"/>
    <w:rsid w:val="008B3377"/>
    <w:rsid w:val="008C0BC7"/>
    <w:rsid w:val="008C2765"/>
    <w:rsid w:val="008C2957"/>
    <w:rsid w:val="00900935"/>
    <w:rsid w:val="00914EEB"/>
    <w:rsid w:val="0092133C"/>
    <w:rsid w:val="00924D11"/>
    <w:rsid w:val="00927600"/>
    <w:rsid w:val="0093075D"/>
    <w:rsid w:val="0093449E"/>
    <w:rsid w:val="009376DD"/>
    <w:rsid w:val="00937E02"/>
    <w:rsid w:val="009456D0"/>
    <w:rsid w:val="00946C1B"/>
    <w:rsid w:val="00946E33"/>
    <w:rsid w:val="00962779"/>
    <w:rsid w:val="0096432D"/>
    <w:rsid w:val="0097315C"/>
    <w:rsid w:val="009865F7"/>
    <w:rsid w:val="009974F0"/>
    <w:rsid w:val="009A3A7A"/>
    <w:rsid w:val="009A3BD0"/>
    <w:rsid w:val="009B1CE6"/>
    <w:rsid w:val="009B1FDD"/>
    <w:rsid w:val="009C4205"/>
    <w:rsid w:val="009D588E"/>
    <w:rsid w:val="009E3A18"/>
    <w:rsid w:val="009E3AFB"/>
    <w:rsid w:val="009E3F02"/>
    <w:rsid w:val="009E679F"/>
    <w:rsid w:val="009F1859"/>
    <w:rsid w:val="009F20A0"/>
    <w:rsid w:val="009F34F0"/>
    <w:rsid w:val="00A1079F"/>
    <w:rsid w:val="00A171B8"/>
    <w:rsid w:val="00A1731B"/>
    <w:rsid w:val="00A22CED"/>
    <w:rsid w:val="00A22D45"/>
    <w:rsid w:val="00A26892"/>
    <w:rsid w:val="00A334C5"/>
    <w:rsid w:val="00A33638"/>
    <w:rsid w:val="00A376BE"/>
    <w:rsid w:val="00A45119"/>
    <w:rsid w:val="00A457A7"/>
    <w:rsid w:val="00A7658A"/>
    <w:rsid w:val="00A77F18"/>
    <w:rsid w:val="00A8529F"/>
    <w:rsid w:val="00A92C5C"/>
    <w:rsid w:val="00A952AD"/>
    <w:rsid w:val="00AA0B05"/>
    <w:rsid w:val="00AB0C62"/>
    <w:rsid w:val="00AB2760"/>
    <w:rsid w:val="00AB56AB"/>
    <w:rsid w:val="00AD2C36"/>
    <w:rsid w:val="00AD49ED"/>
    <w:rsid w:val="00AD7CB2"/>
    <w:rsid w:val="00AE094D"/>
    <w:rsid w:val="00AE3569"/>
    <w:rsid w:val="00AF4938"/>
    <w:rsid w:val="00B04C00"/>
    <w:rsid w:val="00B0706B"/>
    <w:rsid w:val="00B26C8D"/>
    <w:rsid w:val="00B27D37"/>
    <w:rsid w:val="00B50428"/>
    <w:rsid w:val="00B54A7A"/>
    <w:rsid w:val="00B566C1"/>
    <w:rsid w:val="00B738EF"/>
    <w:rsid w:val="00B7662E"/>
    <w:rsid w:val="00B833C2"/>
    <w:rsid w:val="00B90380"/>
    <w:rsid w:val="00B9191E"/>
    <w:rsid w:val="00B9501B"/>
    <w:rsid w:val="00B962F5"/>
    <w:rsid w:val="00B967DE"/>
    <w:rsid w:val="00BA5B57"/>
    <w:rsid w:val="00BB47D6"/>
    <w:rsid w:val="00BB5A18"/>
    <w:rsid w:val="00BC18ED"/>
    <w:rsid w:val="00BC752B"/>
    <w:rsid w:val="00BE2397"/>
    <w:rsid w:val="00BF2013"/>
    <w:rsid w:val="00C11A75"/>
    <w:rsid w:val="00C16F34"/>
    <w:rsid w:val="00C22A5C"/>
    <w:rsid w:val="00C40525"/>
    <w:rsid w:val="00C43477"/>
    <w:rsid w:val="00C47810"/>
    <w:rsid w:val="00C527CC"/>
    <w:rsid w:val="00C54642"/>
    <w:rsid w:val="00C6059A"/>
    <w:rsid w:val="00C6281C"/>
    <w:rsid w:val="00C652E3"/>
    <w:rsid w:val="00C66C81"/>
    <w:rsid w:val="00C74D05"/>
    <w:rsid w:val="00C77949"/>
    <w:rsid w:val="00C8169E"/>
    <w:rsid w:val="00C848C1"/>
    <w:rsid w:val="00CA57AA"/>
    <w:rsid w:val="00CA790A"/>
    <w:rsid w:val="00CC235F"/>
    <w:rsid w:val="00CC2D31"/>
    <w:rsid w:val="00CC41AE"/>
    <w:rsid w:val="00CD03C0"/>
    <w:rsid w:val="00CD2B1D"/>
    <w:rsid w:val="00CE78E0"/>
    <w:rsid w:val="00D073BB"/>
    <w:rsid w:val="00D16B23"/>
    <w:rsid w:val="00D2036D"/>
    <w:rsid w:val="00D20670"/>
    <w:rsid w:val="00D26C0C"/>
    <w:rsid w:val="00D301FA"/>
    <w:rsid w:val="00D3170F"/>
    <w:rsid w:val="00D41980"/>
    <w:rsid w:val="00D4338B"/>
    <w:rsid w:val="00D45383"/>
    <w:rsid w:val="00D5568E"/>
    <w:rsid w:val="00D62495"/>
    <w:rsid w:val="00D71512"/>
    <w:rsid w:val="00D74518"/>
    <w:rsid w:val="00D74D9E"/>
    <w:rsid w:val="00D75E77"/>
    <w:rsid w:val="00D814AC"/>
    <w:rsid w:val="00D865D6"/>
    <w:rsid w:val="00D86CF7"/>
    <w:rsid w:val="00D9092A"/>
    <w:rsid w:val="00D92C94"/>
    <w:rsid w:val="00D9524F"/>
    <w:rsid w:val="00D960A6"/>
    <w:rsid w:val="00DA2F8A"/>
    <w:rsid w:val="00DB5176"/>
    <w:rsid w:val="00DB5D9A"/>
    <w:rsid w:val="00DC60B6"/>
    <w:rsid w:val="00DD6E31"/>
    <w:rsid w:val="00DE03F3"/>
    <w:rsid w:val="00DE5103"/>
    <w:rsid w:val="00DE6213"/>
    <w:rsid w:val="00DE7C01"/>
    <w:rsid w:val="00DF0B49"/>
    <w:rsid w:val="00DF27A2"/>
    <w:rsid w:val="00E57235"/>
    <w:rsid w:val="00E61E1D"/>
    <w:rsid w:val="00E639A6"/>
    <w:rsid w:val="00E67D6B"/>
    <w:rsid w:val="00E727F5"/>
    <w:rsid w:val="00E832BD"/>
    <w:rsid w:val="00E8755D"/>
    <w:rsid w:val="00E971C0"/>
    <w:rsid w:val="00EA0774"/>
    <w:rsid w:val="00EA607E"/>
    <w:rsid w:val="00EC1199"/>
    <w:rsid w:val="00EC53A3"/>
    <w:rsid w:val="00EE24AE"/>
    <w:rsid w:val="00EF21AE"/>
    <w:rsid w:val="00F100E0"/>
    <w:rsid w:val="00F221FB"/>
    <w:rsid w:val="00F248E9"/>
    <w:rsid w:val="00F313C7"/>
    <w:rsid w:val="00F444FF"/>
    <w:rsid w:val="00F543A8"/>
    <w:rsid w:val="00F76D6B"/>
    <w:rsid w:val="00FA50F5"/>
    <w:rsid w:val="00FA512B"/>
    <w:rsid w:val="00FB4332"/>
    <w:rsid w:val="00FB7D8B"/>
    <w:rsid w:val="00FC0E4C"/>
    <w:rsid w:val="00FC3247"/>
    <w:rsid w:val="00FC5536"/>
    <w:rsid w:val="00FD69C9"/>
    <w:rsid w:val="00FE12D2"/>
    <w:rsid w:val="00FE3463"/>
    <w:rsid w:val="00FE38F3"/>
    <w:rsid w:val="00FE41BE"/>
    <w:rsid w:val="00FF0BA8"/>
    <w:rsid w:val="00FF6480"/>
    <w:rsid w:val="048C48AE"/>
    <w:rsid w:val="15F14B64"/>
    <w:rsid w:val="16B262E2"/>
    <w:rsid w:val="2A107C53"/>
    <w:rsid w:val="396D377E"/>
    <w:rsid w:val="510D5A6A"/>
    <w:rsid w:val="63032F62"/>
    <w:rsid w:val="721F06A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1902"/>
  <w15:docId w15:val="{B08A9038-BE97-4BD9-B563-AC17CC72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pPr>
      <w:spacing w:after="160"/>
    </w:pPr>
    <w:rPr>
      <w:rFonts w:eastAsiaTheme="minorEastAsia"/>
      <w:color w:val="595959" w:themeColor="text1" w:themeTint="A6"/>
      <w:spacing w:val="15"/>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eastAsia="en-US"/>
    </w:rPr>
  </w:style>
  <w:style w:type="character" w:customStyle="1" w:styleId="HeaderChar">
    <w:name w:val="Header Char"/>
    <w:basedOn w:val="DefaultParagraphFont"/>
    <w:link w:val="Header"/>
    <w:uiPriority w:val="99"/>
    <w:rPr>
      <w:sz w:val="22"/>
      <w:szCs w:val="22"/>
      <w:lang w:eastAsia="en-US"/>
    </w:rPr>
  </w:style>
  <w:style w:type="character" w:customStyle="1" w:styleId="FooterChar">
    <w:name w:val="Footer Char"/>
    <w:basedOn w:val="DefaultParagraphFont"/>
    <w:link w:val="Footer"/>
    <w:uiPriority w:val="99"/>
    <w:qFormat/>
    <w:rPr>
      <w:sz w:val="22"/>
      <w:szCs w:val="2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eastAsia="en-US"/>
    </w:rPr>
  </w:style>
  <w:style w:type="character" w:customStyle="1" w:styleId="SubtitleChar">
    <w:name w:val="Subtitle Char"/>
    <w:basedOn w:val="DefaultParagraphFont"/>
    <w:link w:val="Subtitle"/>
    <w:uiPriority w:val="11"/>
    <w:rPr>
      <w:rFonts w:eastAsiaTheme="minorEastAsia"/>
      <w:color w:val="595959" w:themeColor="text1" w:themeTint="A6"/>
      <w:spacing w:val="15"/>
      <w:sz w:val="22"/>
      <w:szCs w:val="22"/>
      <w:lang w:eastAsia="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lang w:eastAsia="en-US"/>
    </w:rPr>
  </w:style>
  <w:style w:type="character" w:customStyle="1" w:styleId="FootnoteTextChar">
    <w:name w:val="Footnote Text Char"/>
    <w:basedOn w:val="DefaultParagraphFont"/>
    <w:link w:val="FootnoteText"/>
    <w:uiPriority w:val="99"/>
    <w:semiHidden/>
    <w:rPr>
      <w:lang w:eastAsia="en-US"/>
    </w:rPr>
  </w:style>
  <w:style w:type="character" w:customStyle="1" w:styleId="15">
    <w:name w:val="15"/>
    <w:basedOn w:val="DefaultParagraphFont"/>
    <w:qFormat/>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bookcentral.proquest.com/lib/york-ebooks/detail.action?docID=3117779" TargetMode="External"/><Relationship Id="rId13" Type="http://schemas.openxmlformats.org/officeDocument/2006/relationships/hyperlink" Target="https://www.gutenberg.org/ebooks/36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topher.jay@york.ac.uk" TargetMode="External"/><Relationship Id="rId12" Type="http://schemas.openxmlformats.org/officeDocument/2006/relationships/hyperlink" Target="https://www.gutenberg.org/files/23428/23428-h/23428-h.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psa-acsp.ca/papers-2010/Weinberg.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xford.universitypressscholarship.com/view/10.1093/acprof:oso/9780199753673.001.0001/acprof-9780199753673" TargetMode="External"/><Relationship Id="rId5" Type="http://schemas.openxmlformats.org/officeDocument/2006/relationships/footnotes" Target="footnotes.xml"/><Relationship Id="rId15" Type="http://schemas.openxmlformats.org/officeDocument/2006/relationships/hyperlink" Target="https://oxford.universitypressscholarship.com/view/10.1093/acprof:oso/9780199580071.001.0001/acprof-9780199580071" TargetMode="External"/><Relationship Id="rId10" Type="http://schemas.openxmlformats.org/officeDocument/2006/relationships/hyperlink" Target="https://www.gutenberg.org/files/23428/23428-h/23428-h.htm" TargetMode="External"/><Relationship Id="rId4" Type="http://schemas.openxmlformats.org/officeDocument/2006/relationships/webSettings" Target="webSettings.xml"/><Relationship Id="rId9" Type="http://schemas.openxmlformats.org/officeDocument/2006/relationships/hyperlink" Target="https://www.cambridge.org/core/services/aop-cambridge-core/content/view/430D54DF385BC68B7A26843E854C7BE4/S0020859000113227a.pdf/div-class-title-kropotkin-s-theory-of-mutual-aid-in-historical-context-a-href-fn01-ref-type-fn-a-div.pdf" TargetMode="External"/><Relationship Id="rId14" Type="http://schemas.openxmlformats.org/officeDocument/2006/relationships/hyperlink" Target="https://core.ac.uk/download/pdf/2682227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D0DA259-A07C-4C4D-A96F-C1C25FB47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4281</Words>
  <Characters>24403</Characters>
  <Application>Microsoft Office Word</Application>
  <DocSecurity>0</DocSecurity>
  <Lines>203</Lines>
  <Paragraphs>57</Paragraphs>
  <ScaleCrop>false</ScaleCrop>
  <Company/>
  <LinksUpToDate>false</LinksUpToDate>
  <CharactersWithSpaces>28627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Christopher Jay</cp:lastModifiedBy>
  <cp:revision>2</cp:revision>
  <cp:lastPrinted>2021-10-01T13:02:00Z</cp:lastPrinted>
  <dcterms:created xsi:type="dcterms:W3CDTF">2025-07-25T18:37:00Z</dcterms:created>
  <dcterms:modified xsi:type="dcterms:W3CDTF">2025-07-25T18:37:00Z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8439961C3F7B4C0D8395B6C280B562C8_12</vt:lpwstr>
  </property>
</Properties>
</file>