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922D6" w:rsidRDefault="002764A2">
      <w:pPr>
        <w:rPr>
          <w:rFonts w:ascii="Palatino Linotype" w:eastAsia="Palatino Linotype" w:hAnsi="Palatino Linotype" w:cs="Palatino Linotype"/>
          <w:sz w:val="28"/>
          <w:szCs w:val="28"/>
        </w:rPr>
      </w:pPr>
      <w:r>
        <w:rPr>
          <w:rFonts w:ascii="Palatino Linotype" w:eastAsia="Palatino Linotype" w:hAnsi="Palatino Linotype" w:cs="Palatino Linotype"/>
          <w:b/>
          <w:sz w:val="28"/>
          <w:szCs w:val="28"/>
        </w:rPr>
        <w:t>Tutorials in Philosophy of Law</w:t>
      </w:r>
      <w:r>
        <w:rPr>
          <w:rFonts w:ascii="Palatino Linotype" w:eastAsia="Palatino Linotype" w:hAnsi="Palatino Linotype" w:cs="Palatino Linotype"/>
          <w:sz w:val="28"/>
          <w:szCs w:val="28"/>
        </w:rPr>
        <w:tab/>
        <w:t>Module Outline &amp; Reading List</w:t>
      </w:r>
    </w:p>
    <w:p w14:paraId="00000002" w14:textId="77777777" w:rsidR="00F922D6" w:rsidRDefault="002764A2">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PHI00087I</w:t>
      </w:r>
    </w:p>
    <w:p w14:paraId="00000003" w14:textId="77777777" w:rsidR="00F922D6" w:rsidRDefault="002764A2">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Autumn/Spring 2017/2018</w:t>
      </w:r>
    </w:p>
    <w:p w14:paraId="00000004" w14:textId="77777777" w:rsidR="00F922D6" w:rsidRDefault="002764A2">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Department of Philosophy</w:t>
      </w:r>
    </w:p>
    <w:p w14:paraId="00000005" w14:textId="77777777" w:rsidR="00F922D6" w:rsidRDefault="002764A2">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Dr Christopher Jay</w:t>
      </w:r>
    </w:p>
    <w:p w14:paraId="00000006" w14:textId="77777777" w:rsidR="00F922D6" w:rsidRDefault="00F922D6">
      <w:pPr>
        <w:rPr>
          <w:rFonts w:ascii="Palatino Linotype" w:eastAsia="Palatino Linotype" w:hAnsi="Palatino Linotype" w:cs="Palatino Linotype"/>
          <w:sz w:val="24"/>
          <w:szCs w:val="24"/>
        </w:rPr>
      </w:pPr>
    </w:p>
    <w:p w14:paraId="00000007" w14:textId="77777777" w:rsidR="00F922D6" w:rsidRDefault="002764A2">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Contact: </w:t>
      </w:r>
      <w:hyperlink r:id="rId5">
        <w:r>
          <w:rPr>
            <w:rFonts w:ascii="Palatino Linotype" w:eastAsia="Palatino Linotype" w:hAnsi="Palatino Linotype" w:cs="Palatino Linotype"/>
            <w:color w:val="0563C1"/>
            <w:sz w:val="24"/>
            <w:szCs w:val="24"/>
            <w:u w:val="single"/>
          </w:rPr>
          <w:t>christopher.jay@york.ac.uk</w:t>
        </w:r>
      </w:hyperlink>
    </w:p>
    <w:p w14:paraId="00000008" w14:textId="77777777" w:rsidR="00F922D6" w:rsidRDefault="002764A2">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Office Hour: Wednesdays, 10-11am (or by appointment)</w:t>
      </w:r>
    </w:p>
    <w:p w14:paraId="00000009" w14:textId="77777777" w:rsidR="00F922D6" w:rsidRDefault="00F922D6">
      <w:pPr>
        <w:rPr>
          <w:rFonts w:ascii="Palatino Linotype" w:eastAsia="Palatino Linotype" w:hAnsi="Palatino Linotype" w:cs="Palatino Linotype"/>
          <w:sz w:val="24"/>
          <w:szCs w:val="24"/>
        </w:rPr>
      </w:pPr>
    </w:p>
    <w:p w14:paraId="0000000A" w14:textId="77777777" w:rsidR="00F922D6" w:rsidRDefault="002764A2">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Assessment: See </w:t>
      </w:r>
      <w:r>
        <w:rPr>
          <w:rFonts w:ascii="Palatino Linotype" w:eastAsia="Palatino Linotype" w:hAnsi="Palatino Linotype" w:cs="Palatino Linotype"/>
          <w:i/>
          <w:sz w:val="24"/>
          <w:szCs w:val="24"/>
        </w:rPr>
        <w:t>Tutorial Module Handbook</w:t>
      </w:r>
      <w:r>
        <w:rPr>
          <w:rFonts w:ascii="Palatino Linotype" w:eastAsia="Palatino Linotype" w:hAnsi="Palatino Linotype" w:cs="Palatino Linotype"/>
          <w:sz w:val="24"/>
          <w:szCs w:val="24"/>
        </w:rPr>
        <w:t xml:space="preserve"> on VLE</w:t>
      </w:r>
    </w:p>
    <w:p w14:paraId="0000000B" w14:textId="77777777" w:rsidR="00F922D6" w:rsidRDefault="00F922D6">
      <w:pPr>
        <w:rPr>
          <w:rFonts w:ascii="Palatino Linotype" w:eastAsia="Palatino Linotype" w:hAnsi="Palatino Linotype" w:cs="Palatino Linotype"/>
          <w:sz w:val="24"/>
          <w:szCs w:val="24"/>
        </w:rPr>
      </w:pPr>
    </w:p>
    <w:p w14:paraId="0000000C" w14:textId="77777777" w:rsidR="00F922D6" w:rsidRDefault="002764A2">
      <w:pPr>
        <w:rPr>
          <w:rFonts w:ascii="Palatino Linotype" w:eastAsia="Palatino Linotype" w:hAnsi="Palatino Linotype" w:cs="Palatino Linotype"/>
          <w:b/>
          <w:sz w:val="24"/>
          <w:szCs w:val="24"/>
          <w:u w:val="single"/>
        </w:rPr>
      </w:pPr>
      <w:r>
        <w:rPr>
          <w:rFonts w:ascii="Palatino Linotype" w:eastAsia="Palatino Linotype" w:hAnsi="Palatino Linotype" w:cs="Palatino Linotype"/>
          <w:b/>
          <w:sz w:val="24"/>
          <w:szCs w:val="24"/>
          <w:u w:val="single"/>
        </w:rPr>
        <w:t>Overview</w:t>
      </w:r>
    </w:p>
    <w:p w14:paraId="0000000D" w14:textId="77777777" w:rsidR="00F922D6" w:rsidRDefault="002764A2">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This module is not taught by lectures and seminars, but by tutorials in which five of us (four students and I) will meet weekly to discuss an essay which one of you has written and pre-circulated. This type of study is </w:t>
      </w:r>
      <w:proofErr w:type="gramStart"/>
      <w:r>
        <w:rPr>
          <w:rFonts w:ascii="Palatino Linotype" w:eastAsia="Palatino Linotype" w:hAnsi="Palatino Linotype" w:cs="Palatino Linotype"/>
          <w:sz w:val="24"/>
          <w:szCs w:val="24"/>
        </w:rPr>
        <w:t>intensive, and</w:t>
      </w:r>
      <w:proofErr w:type="gramEnd"/>
      <w:r>
        <w:rPr>
          <w:rFonts w:ascii="Palatino Linotype" w:eastAsia="Palatino Linotype" w:hAnsi="Palatino Linotype" w:cs="Palatino Linotype"/>
          <w:sz w:val="24"/>
          <w:szCs w:val="24"/>
        </w:rPr>
        <w:t xml:space="preserve"> requires diligence and a readiness to participate; but it is also one of the most rewarding ways of doing philosophy, because it affords an opportunity to talk about and receive feedback on your work and ideas in a way and to an extent which is simply not possible with other styles of teaching. </w:t>
      </w:r>
    </w:p>
    <w:p w14:paraId="0000000E" w14:textId="77777777" w:rsidR="00F922D6" w:rsidRDefault="002764A2">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b/>
        <w:t>In the first half of term, we will look at some texts dealing with the nature of law and the relation of law to morality. Each week in weeks 2-5, all of us will read a particular piece and think about it, preparing ideas for discussion in that week’s tutorial – and one person each week will be responsible for writing an essay introducing the ideas and arguments of that piece. That essay will be sent, via email, to the rest of us in advance of the tutorial, and we will read that essay and prepare some notes</w:t>
      </w:r>
      <w:r>
        <w:rPr>
          <w:rFonts w:ascii="Palatino Linotype" w:eastAsia="Palatino Linotype" w:hAnsi="Palatino Linotype" w:cs="Palatino Linotype"/>
          <w:sz w:val="24"/>
          <w:szCs w:val="24"/>
        </w:rPr>
        <w:t xml:space="preserve"> on it, too. Those notes should include something about (i) how accurately or insightfully the essay deals with the set reading and (ii) how the essay works as a piece of writing. (See the </w:t>
      </w:r>
      <w:r>
        <w:rPr>
          <w:rFonts w:ascii="Palatino Linotype" w:eastAsia="Palatino Linotype" w:hAnsi="Palatino Linotype" w:cs="Palatino Linotype"/>
          <w:i/>
          <w:sz w:val="24"/>
          <w:szCs w:val="24"/>
        </w:rPr>
        <w:t>Tutorial Module Handbook</w:t>
      </w:r>
      <w:r>
        <w:rPr>
          <w:rFonts w:ascii="Palatino Linotype" w:eastAsia="Palatino Linotype" w:hAnsi="Palatino Linotype" w:cs="Palatino Linotype"/>
          <w:sz w:val="24"/>
          <w:szCs w:val="24"/>
        </w:rPr>
        <w:t xml:space="preserve"> on the VLE for more on preparing this feedback.) Then, in the tutorial, we will talk about both the ideas and arguments presented in the set reading, and the piece of work which has been circulated. So, in the first half of term each week each of you will be (i) preparing for discussion of the set</w:t>
      </w:r>
      <w:r>
        <w:rPr>
          <w:rFonts w:ascii="Palatino Linotype" w:eastAsia="Palatino Linotype" w:hAnsi="Palatino Linotype" w:cs="Palatino Linotype"/>
          <w:sz w:val="24"/>
          <w:szCs w:val="24"/>
        </w:rPr>
        <w:t xml:space="preserve"> reading and either (ii) preparing comments on the circulated essay or (iii) writing your one first round essay. </w:t>
      </w:r>
    </w:p>
    <w:p w14:paraId="0000000F" w14:textId="77777777" w:rsidR="00F922D6" w:rsidRDefault="002764A2">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b/>
        <w:t xml:space="preserve">In the second half of term, you will be working on another essay which will not be so closely based on a piece of set reading but will be responding to a substantial philosophical question which you have chosen to address (in consultation with me and with the rest of the group – two people cannot answer exactly the same question). Each week, one of you will present a draft of this essay (a </w:t>
      </w:r>
      <w:r>
        <w:rPr>
          <w:rFonts w:ascii="Palatino Linotype" w:eastAsia="Palatino Linotype" w:hAnsi="Palatino Linotype" w:cs="Palatino Linotype"/>
          <w:i/>
          <w:sz w:val="24"/>
          <w:szCs w:val="24"/>
        </w:rPr>
        <w:t>full draft</w:t>
      </w:r>
      <w:r>
        <w:rPr>
          <w:rFonts w:ascii="Palatino Linotype" w:eastAsia="Palatino Linotype" w:hAnsi="Palatino Linotype" w:cs="Palatino Linotype"/>
          <w:sz w:val="24"/>
          <w:szCs w:val="24"/>
        </w:rPr>
        <w:t xml:space="preserve"> please; not just a skeletal plan!) and, just as in the first round, the rest of us will read it and prepare comments on it. We will then discuss your ideas and arguments, how your essay works as a piece of philosophical writing, and any </w:t>
      </w:r>
      <w:r>
        <w:rPr>
          <w:rFonts w:ascii="Palatino Linotype" w:eastAsia="Palatino Linotype" w:hAnsi="Palatino Linotype" w:cs="Palatino Linotype"/>
          <w:sz w:val="24"/>
          <w:szCs w:val="24"/>
        </w:rPr>
        <w:lastRenderedPageBreak/>
        <w:t>related philosophical ideas which might be important in relation to your topic, in the tutorial.</w:t>
      </w:r>
    </w:p>
    <w:p w14:paraId="00000010" w14:textId="77777777" w:rsidR="00F922D6" w:rsidRDefault="002764A2">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b/>
        <w:t xml:space="preserve">As you can see, then, these tutorials will only work if </w:t>
      </w:r>
      <w:r>
        <w:rPr>
          <w:rFonts w:ascii="Palatino Linotype" w:eastAsia="Palatino Linotype" w:hAnsi="Palatino Linotype" w:cs="Palatino Linotype"/>
          <w:i/>
          <w:sz w:val="24"/>
          <w:szCs w:val="24"/>
        </w:rPr>
        <w:t>each one of us</w:t>
      </w:r>
      <w:r>
        <w:rPr>
          <w:rFonts w:ascii="Palatino Linotype" w:eastAsia="Palatino Linotype" w:hAnsi="Palatino Linotype" w:cs="Palatino Linotype"/>
          <w:sz w:val="24"/>
          <w:szCs w:val="24"/>
        </w:rPr>
        <w:t xml:space="preserve"> puts in the work: the person due to produce and circulate an essay in a particular week needs to produce and circulate it, otherwise we cannot discuss it; and we all need to come prepared to the seminars, otherwise, with so few of us in the room, discussion will stall and none of us will get much out of it. But, as you can also see, the rewards of putting this work in should be very great: you will have the chance to discuss your own ideas, the ideas of your colleagues and the set texts in a small group se</w:t>
      </w:r>
      <w:r>
        <w:rPr>
          <w:rFonts w:ascii="Palatino Linotype" w:eastAsia="Palatino Linotype" w:hAnsi="Palatino Linotype" w:cs="Palatino Linotype"/>
          <w:sz w:val="24"/>
          <w:szCs w:val="24"/>
        </w:rPr>
        <w:t xml:space="preserve">tting every week for eight weeks, sharpening your philosophical and communication skills very significantly, </w:t>
      </w:r>
      <w:r>
        <w:rPr>
          <w:rFonts w:ascii="Palatino Linotype" w:eastAsia="Palatino Linotype" w:hAnsi="Palatino Linotype" w:cs="Palatino Linotype"/>
          <w:i/>
          <w:sz w:val="24"/>
          <w:szCs w:val="24"/>
        </w:rPr>
        <w:t>iff you participate</w:t>
      </w:r>
      <w:r>
        <w:rPr>
          <w:rFonts w:ascii="Palatino Linotype" w:eastAsia="Palatino Linotype" w:hAnsi="Palatino Linotype" w:cs="Palatino Linotype"/>
          <w:sz w:val="24"/>
          <w:szCs w:val="24"/>
        </w:rPr>
        <w:t xml:space="preserve">. </w:t>
      </w:r>
    </w:p>
    <w:p w14:paraId="00000011" w14:textId="77777777" w:rsidR="00F922D6" w:rsidRDefault="002764A2">
      <w:pPr>
        <w:rPr>
          <w:rFonts w:ascii="Palatino Linotype" w:eastAsia="Palatino Linotype" w:hAnsi="Palatino Linotype" w:cs="Palatino Linotype"/>
          <w:sz w:val="24"/>
          <w:szCs w:val="24"/>
        </w:rPr>
      </w:pPr>
      <w:bookmarkStart w:id="0" w:name="_heading=h.h25rzng09zt3" w:colFirst="0" w:colLast="0"/>
      <w:bookmarkEnd w:id="0"/>
      <w:r>
        <w:rPr>
          <w:rFonts w:ascii="Palatino Linotype" w:eastAsia="Palatino Linotype" w:hAnsi="Palatino Linotype" w:cs="Palatino Linotype"/>
          <w:sz w:val="24"/>
          <w:szCs w:val="24"/>
        </w:rPr>
        <w:tab/>
        <w:t xml:space="preserve">There are many aspects of philosophy of law, and we are not going to even try to cover them all by any means. There are interesting issues which relate to philosophy of action (what it is to intend something, for example) and epistemology (the nature of evidence), for example, which we won’t have a chance to touch on. We will focus on what, if anything, makes </w:t>
      </w:r>
      <w:r>
        <w:rPr>
          <w:rFonts w:ascii="Palatino Linotype" w:eastAsia="Palatino Linotype" w:hAnsi="Palatino Linotype" w:cs="Palatino Linotype"/>
          <w:i/>
          <w:sz w:val="24"/>
          <w:szCs w:val="24"/>
        </w:rPr>
        <w:t>law</w:t>
      </w:r>
      <w:r>
        <w:rPr>
          <w:rFonts w:ascii="Palatino Linotype" w:eastAsia="Palatino Linotype" w:hAnsi="Palatino Linotype" w:cs="Palatino Linotype"/>
          <w:sz w:val="24"/>
          <w:szCs w:val="24"/>
        </w:rPr>
        <w:t xml:space="preserve"> different from other systems of rules or norms, where it gets its authority from (if it has any special authority), and how moral considerations interact with the law – if they interact at all. Even here, we won’t be able to discuss </w:t>
      </w:r>
      <w:proofErr w:type="gramStart"/>
      <w:r>
        <w:rPr>
          <w:rFonts w:ascii="Palatino Linotype" w:eastAsia="Palatino Linotype" w:hAnsi="Palatino Linotype" w:cs="Palatino Linotype"/>
          <w:sz w:val="24"/>
          <w:szCs w:val="24"/>
        </w:rPr>
        <w:t>all of</w:t>
      </w:r>
      <w:proofErr w:type="gramEnd"/>
      <w:r>
        <w:rPr>
          <w:rFonts w:ascii="Palatino Linotype" w:eastAsia="Palatino Linotype" w:hAnsi="Palatino Linotype" w:cs="Palatino Linotype"/>
          <w:sz w:val="24"/>
          <w:szCs w:val="24"/>
        </w:rPr>
        <w:t xml:space="preserve"> the main ideas. But we should focus on carefully studying and thinking through some </w:t>
      </w:r>
      <w:proofErr w:type="gramStart"/>
      <w:r>
        <w:rPr>
          <w:rFonts w:ascii="Palatino Linotype" w:eastAsia="Palatino Linotype" w:hAnsi="Palatino Linotype" w:cs="Palatino Linotype"/>
          <w:sz w:val="24"/>
          <w:szCs w:val="24"/>
        </w:rPr>
        <w:t>particular arguments</w:t>
      </w:r>
      <w:proofErr w:type="gramEnd"/>
      <w:r>
        <w:rPr>
          <w:rFonts w:ascii="Palatino Linotype" w:eastAsia="Palatino Linotype" w:hAnsi="Palatino Linotype" w:cs="Palatino Linotype"/>
          <w:sz w:val="24"/>
          <w:szCs w:val="24"/>
        </w:rPr>
        <w:t xml:space="preserve"> and views, rather than trying to skip across too much ground. And we should make the most of </w:t>
      </w:r>
      <w:proofErr w:type="gramStart"/>
      <w:r>
        <w:rPr>
          <w:rFonts w:ascii="Palatino Linotype" w:eastAsia="Palatino Linotype" w:hAnsi="Palatino Linotype" w:cs="Palatino Linotype"/>
          <w:sz w:val="24"/>
          <w:szCs w:val="24"/>
        </w:rPr>
        <w:t>the .opportunity</w:t>
      </w:r>
      <w:proofErr w:type="gramEnd"/>
      <w:r>
        <w:rPr>
          <w:rFonts w:ascii="Palatino Linotype" w:eastAsia="Palatino Linotype" w:hAnsi="Palatino Linotype" w:cs="Palatino Linotype"/>
          <w:sz w:val="24"/>
          <w:szCs w:val="24"/>
        </w:rPr>
        <w:t xml:space="preserve"> to discuss, at length, our </w:t>
      </w:r>
      <w:r>
        <w:rPr>
          <w:rFonts w:ascii="Palatino Linotype" w:eastAsia="Palatino Linotype" w:hAnsi="Palatino Linotype" w:cs="Palatino Linotype"/>
          <w:i/>
          <w:sz w:val="24"/>
          <w:szCs w:val="24"/>
        </w:rPr>
        <w:t>own</w:t>
      </w:r>
      <w:r>
        <w:rPr>
          <w:rFonts w:ascii="Palatino Linotype" w:eastAsia="Palatino Linotype" w:hAnsi="Palatino Linotype" w:cs="Palatino Linotype"/>
          <w:sz w:val="24"/>
          <w:szCs w:val="24"/>
        </w:rPr>
        <w:t xml:space="preserve"> arguments and views, a</w:t>
      </w:r>
      <w:r>
        <w:rPr>
          <w:rFonts w:ascii="Palatino Linotype" w:eastAsia="Palatino Linotype" w:hAnsi="Palatino Linotype" w:cs="Palatino Linotype"/>
          <w:sz w:val="24"/>
          <w:szCs w:val="24"/>
        </w:rPr>
        <w:t xml:space="preserve">nd our own reactions to the arguments presented in the texts and by each other. The tutorials should develop into philosophical conversations. </w:t>
      </w:r>
    </w:p>
    <w:p w14:paraId="00000012" w14:textId="77777777" w:rsidR="00F922D6" w:rsidRDefault="00F922D6">
      <w:pPr>
        <w:rPr>
          <w:rFonts w:ascii="Palatino Linotype" w:eastAsia="Palatino Linotype" w:hAnsi="Palatino Linotype" w:cs="Palatino Linotype"/>
          <w:sz w:val="24"/>
          <w:szCs w:val="24"/>
        </w:rPr>
      </w:pPr>
    </w:p>
    <w:p w14:paraId="00000013" w14:textId="77777777" w:rsidR="00F922D6" w:rsidRDefault="002764A2">
      <w:pPr>
        <w:rPr>
          <w:rFonts w:ascii="Palatino Linotype" w:eastAsia="Palatino Linotype" w:hAnsi="Palatino Linotype" w:cs="Palatino Linotype"/>
          <w:b/>
          <w:sz w:val="24"/>
          <w:szCs w:val="24"/>
          <w:u w:val="single"/>
        </w:rPr>
      </w:pPr>
      <w:r>
        <w:rPr>
          <w:rFonts w:ascii="Palatino Linotype" w:eastAsia="Palatino Linotype" w:hAnsi="Palatino Linotype" w:cs="Palatino Linotype"/>
          <w:b/>
          <w:sz w:val="24"/>
          <w:szCs w:val="24"/>
          <w:u w:val="single"/>
        </w:rPr>
        <w:t>Reading</w:t>
      </w:r>
    </w:p>
    <w:p w14:paraId="00000014" w14:textId="77777777" w:rsidR="00F922D6" w:rsidRDefault="002764A2">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We can discuss what to read at the initial meeting in Week 1 – we probably won’t have time to look at all the texts listed below, so we can make some choices based on what people are most interested in.</w:t>
      </w:r>
    </w:p>
    <w:p w14:paraId="00000015" w14:textId="77777777" w:rsidR="00F922D6" w:rsidRDefault="00F922D6">
      <w:pPr>
        <w:rPr>
          <w:rFonts w:ascii="Palatino Linotype" w:eastAsia="Palatino Linotype" w:hAnsi="Palatino Linotype" w:cs="Palatino Linotype"/>
          <w:sz w:val="24"/>
          <w:szCs w:val="24"/>
        </w:rPr>
      </w:pPr>
    </w:p>
    <w:p w14:paraId="00000016" w14:textId="77777777" w:rsidR="00F922D6" w:rsidRDefault="002764A2">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Asterisked (*) items are </w:t>
      </w:r>
      <w:r>
        <w:rPr>
          <w:rFonts w:ascii="Palatino Linotype" w:eastAsia="Palatino Linotype" w:hAnsi="Palatino Linotype" w:cs="Palatino Linotype"/>
          <w:i/>
          <w:sz w:val="24"/>
          <w:szCs w:val="24"/>
        </w:rPr>
        <w:t>essential</w:t>
      </w:r>
      <w:r>
        <w:rPr>
          <w:rFonts w:ascii="Palatino Linotype" w:eastAsia="Palatino Linotype" w:hAnsi="Palatino Linotype" w:cs="Palatino Linotype"/>
          <w:sz w:val="24"/>
          <w:szCs w:val="24"/>
        </w:rPr>
        <w:t xml:space="preserve"> reading (if we choose to cover that topic); other items are </w:t>
      </w:r>
      <w:r>
        <w:rPr>
          <w:rFonts w:ascii="Palatino Linotype" w:eastAsia="Palatino Linotype" w:hAnsi="Palatino Linotype" w:cs="Palatino Linotype"/>
          <w:i/>
          <w:sz w:val="24"/>
          <w:szCs w:val="24"/>
        </w:rPr>
        <w:t>recommended</w:t>
      </w:r>
      <w:r>
        <w:rPr>
          <w:rFonts w:ascii="Palatino Linotype" w:eastAsia="Palatino Linotype" w:hAnsi="Palatino Linotype" w:cs="Palatino Linotype"/>
          <w:sz w:val="24"/>
          <w:szCs w:val="24"/>
        </w:rPr>
        <w:t xml:space="preserve">. </w:t>
      </w:r>
    </w:p>
    <w:p w14:paraId="00000017" w14:textId="77777777" w:rsidR="00F922D6" w:rsidRDefault="00F922D6">
      <w:pPr>
        <w:rPr>
          <w:rFonts w:ascii="Palatino Linotype" w:eastAsia="Palatino Linotype" w:hAnsi="Palatino Linotype" w:cs="Palatino Linotype"/>
          <w:sz w:val="24"/>
          <w:szCs w:val="24"/>
        </w:rPr>
      </w:pPr>
    </w:p>
    <w:p w14:paraId="00000018" w14:textId="77777777" w:rsidR="00F922D6" w:rsidRDefault="002764A2">
      <w:pPr>
        <w:ind w:left="567" w:hanging="567"/>
        <w:rPr>
          <w:rFonts w:ascii="Palatino Linotype" w:eastAsia="Palatino Linotype" w:hAnsi="Palatino Linotype" w:cs="Palatino Linotype"/>
          <w:smallCaps/>
          <w:sz w:val="24"/>
          <w:szCs w:val="24"/>
        </w:rPr>
      </w:pPr>
      <w:r>
        <w:rPr>
          <w:rFonts w:ascii="Palatino Linotype" w:eastAsia="Palatino Linotype" w:hAnsi="Palatino Linotype" w:cs="Palatino Linotype"/>
          <w:smallCaps/>
          <w:sz w:val="24"/>
          <w:szCs w:val="24"/>
        </w:rPr>
        <w:t xml:space="preserve">1. What Law Is </w:t>
      </w:r>
    </w:p>
    <w:p w14:paraId="00000019" w14:textId="77777777" w:rsidR="00F922D6" w:rsidRDefault="002764A2">
      <w:pPr>
        <w:ind w:left="567" w:hanging="567"/>
        <w:rPr>
          <w:rFonts w:ascii="Palatino Linotype" w:eastAsia="Palatino Linotype" w:hAnsi="Palatino Linotype" w:cs="Palatino Linotype"/>
          <w:smallCaps/>
          <w:sz w:val="24"/>
          <w:szCs w:val="24"/>
        </w:rPr>
      </w:pPr>
      <w:r>
        <w:rPr>
          <w:rFonts w:ascii="Palatino Linotype" w:eastAsia="Palatino Linotype" w:hAnsi="Palatino Linotype" w:cs="Palatino Linotype"/>
          <w:smallCaps/>
          <w:sz w:val="24"/>
          <w:szCs w:val="24"/>
        </w:rPr>
        <w:t>Positivism</w:t>
      </w:r>
    </w:p>
    <w:p w14:paraId="0000001A" w14:textId="77777777" w:rsidR="00F922D6" w:rsidRDefault="002764A2">
      <w:pPr>
        <w:pBdr>
          <w:top w:val="nil"/>
          <w:left w:val="nil"/>
          <w:bottom w:val="nil"/>
          <w:right w:val="nil"/>
          <w:between w:val="nil"/>
        </w:pBdr>
        <w:ind w:left="567" w:hanging="567"/>
        <w:rPr>
          <w:rFonts w:ascii="Palatino Linotype" w:eastAsia="Palatino Linotype" w:hAnsi="Palatino Linotype" w:cs="Palatino Linotype"/>
          <w:color w:val="000000"/>
          <w:sz w:val="24"/>
          <w:szCs w:val="24"/>
        </w:rPr>
      </w:pPr>
      <w:r>
        <w:rPr>
          <w:rFonts w:ascii="Palatino Linotype" w:eastAsia="Palatino Linotype" w:hAnsi="Palatino Linotype" w:cs="Palatino Linotype"/>
          <w:b/>
          <w:color w:val="000000"/>
          <w:sz w:val="24"/>
          <w:szCs w:val="24"/>
        </w:rPr>
        <w:t>*H. L. A. Hart</w:t>
      </w:r>
      <w:r>
        <w:rPr>
          <w:rFonts w:ascii="Palatino Linotype" w:eastAsia="Palatino Linotype" w:hAnsi="Palatino Linotype" w:cs="Palatino Linotype"/>
          <w:color w:val="000000"/>
          <w:sz w:val="24"/>
          <w:szCs w:val="24"/>
        </w:rPr>
        <w:t xml:space="preserve">, ‘Positivism and the Separation of Law and Morals’, </w:t>
      </w:r>
      <w:r>
        <w:rPr>
          <w:rFonts w:ascii="Palatino Linotype" w:eastAsia="Palatino Linotype" w:hAnsi="Palatino Linotype" w:cs="Palatino Linotype"/>
          <w:i/>
          <w:color w:val="000000"/>
          <w:sz w:val="24"/>
          <w:szCs w:val="24"/>
        </w:rPr>
        <w:t>Harvard Law Review</w:t>
      </w:r>
      <w:r>
        <w:rPr>
          <w:rFonts w:ascii="Palatino Linotype" w:eastAsia="Palatino Linotype" w:hAnsi="Palatino Linotype" w:cs="Palatino Linotype"/>
          <w:color w:val="000000"/>
          <w:sz w:val="24"/>
          <w:szCs w:val="24"/>
        </w:rPr>
        <w:t xml:space="preserve"> 71: 4 (Feb. 1958), pp. 593-629</w:t>
      </w:r>
    </w:p>
    <w:p w14:paraId="0000001B" w14:textId="77777777" w:rsidR="00F922D6" w:rsidRDefault="002764A2">
      <w:pPr>
        <w:ind w:left="1134" w:hanging="567"/>
        <w:rPr>
          <w:rFonts w:ascii="Palatino Linotype" w:eastAsia="Palatino Linotype" w:hAnsi="Palatino Linotype" w:cs="Palatino Linotype"/>
          <w:sz w:val="20"/>
          <w:szCs w:val="20"/>
        </w:rPr>
      </w:pPr>
      <w:r>
        <w:rPr>
          <w:rFonts w:ascii="Palatino Linotype" w:eastAsia="Palatino Linotype" w:hAnsi="Palatino Linotype" w:cs="Palatino Linotype"/>
          <w:smallCaps/>
          <w:sz w:val="24"/>
          <w:szCs w:val="24"/>
        </w:rPr>
        <w:tab/>
      </w:r>
      <w:r>
        <w:rPr>
          <w:rFonts w:ascii="Palatino Linotype" w:eastAsia="Palatino Linotype" w:hAnsi="Palatino Linotype" w:cs="Palatino Linotype"/>
          <w:sz w:val="20"/>
          <w:szCs w:val="20"/>
        </w:rPr>
        <w:t xml:space="preserve">Hart attempts to formulate, clarify and defend the ‘positivist’ view of law: what counts as law does not depend upon morality, but rather upon the recognition that it (the putative law) comes from an authoritative source. (For more on Hart’s positivism, including his rejection of a different kind of positivism which says that law is a matter of </w:t>
      </w:r>
      <w:r>
        <w:rPr>
          <w:rFonts w:ascii="Palatino Linotype" w:eastAsia="Palatino Linotype" w:hAnsi="Palatino Linotype" w:cs="Palatino Linotype"/>
          <w:i/>
          <w:sz w:val="20"/>
          <w:szCs w:val="20"/>
        </w:rPr>
        <w:t>coercion</w:t>
      </w:r>
      <w:r>
        <w:rPr>
          <w:rFonts w:ascii="Palatino Linotype" w:eastAsia="Palatino Linotype" w:hAnsi="Palatino Linotype" w:cs="Palatino Linotype"/>
          <w:sz w:val="20"/>
          <w:szCs w:val="20"/>
        </w:rPr>
        <w:t xml:space="preserve"> – rather than authority – see his </w:t>
      </w:r>
      <w:r>
        <w:rPr>
          <w:rFonts w:ascii="Palatino Linotype" w:eastAsia="Palatino Linotype" w:hAnsi="Palatino Linotype" w:cs="Palatino Linotype"/>
          <w:i/>
          <w:sz w:val="20"/>
          <w:szCs w:val="20"/>
        </w:rPr>
        <w:t>The Concept of Law</w:t>
      </w:r>
      <w:r>
        <w:rPr>
          <w:rFonts w:ascii="Palatino Linotype" w:eastAsia="Palatino Linotype" w:hAnsi="Palatino Linotype" w:cs="Palatino Linotype"/>
          <w:sz w:val="20"/>
          <w:szCs w:val="20"/>
        </w:rPr>
        <w:t>, esp. Chapters 4-6)</w:t>
      </w:r>
    </w:p>
    <w:p w14:paraId="0000001C" w14:textId="77777777" w:rsidR="00F922D6" w:rsidRDefault="00F922D6">
      <w:pPr>
        <w:ind w:left="567" w:hanging="567"/>
        <w:rPr>
          <w:rFonts w:ascii="Palatino Linotype" w:eastAsia="Palatino Linotype" w:hAnsi="Palatino Linotype" w:cs="Palatino Linotype"/>
          <w:sz w:val="24"/>
          <w:szCs w:val="24"/>
        </w:rPr>
      </w:pPr>
    </w:p>
    <w:p w14:paraId="0000001D" w14:textId="77777777" w:rsidR="00F922D6" w:rsidRDefault="002764A2">
      <w:pPr>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lastRenderedPageBreak/>
        <w:t>Leslie Green</w:t>
      </w:r>
      <w:r>
        <w:rPr>
          <w:rFonts w:ascii="Palatino Linotype" w:eastAsia="Palatino Linotype" w:hAnsi="Palatino Linotype" w:cs="Palatino Linotype"/>
          <w:sz w:val="24"/>
          <w:szCs w:val="24"/>
        </w:rPr>
        <w:t xml:space="preserve">, ‘The Morality in Law’, Oxford Legal Research Papers Series No. 12/2013 (Feb. 2013) (download from </w:t>
      </w:r>
      <w:hyperlink r:id="rId6">
        <w:r>
          <w:rPr>
            <w:rFonts w:ascii="Palatino Linotype" w:eastAsia="Palatino Linotype" w:hAnsi="Palatino Linotype" w:cs="Palatino Linotype"/>
            <w:color w:val="0563C1"/>
            <w:sz w:val="24"/>
            <w:szCs w:val="24"/>
            <w:u w:val="single"/>
          </w:rPr>
          <w:t>http://ssrn.com/abstract=2223760</w:t>
        </w:r>
      </w:hyperlink>
      <w:r>
        <w:rPr>
          <w:rFonts w:ascii="Palatino Linotype" w:eastAsia="Palatino Linotype" w:hAnsi="Palatino Linotype" w:cs="Palatino Linotype"/>
          <w:sz w:val="24"/>
          <w:szCs w:val="24"/>
        </w:rPr>
        <w:t xml:space="preserve">); also in A. Dolcetti, L. Duarte d’Almeida and J. R. Edwards (eds.) </w:t>
      </w:r>
      <w:r>
        <w:rPr>
          <w:rFonts w:ascii="Palatino Linotype" w:eastAsia="Palatino Linotype" w:hAnsi="Palatino Linotype" w:cs="Palatino Linotype"/>
          <w:i/>
          <w:sz w:val="24"/>
          <w:szCs w:val="24"/>
        </w:rPr>
        <w:t>Reading HLA Hart’s ‘The Concept of Law’</w:t>
      </w:r>
      <w:r>
        <w:rPr>
          <w:rFonts w:ascii="Palatino Linotype" w:eastAsia="Palatino Linotype" w:hAnsi="Palatino Linotype" w:cs="Palatino Linotype"/>
          <w:sz w:val="24"/>
          <w:szCs w:val="24"/>
        </w:rPr>
        <w:t xml:space="preserve"> (Oxford: Hart Publishing, 2013)</w:t>
      </w:r>
    </w:p>
    <w:p w14:paraId="0000001E" w14:textId="77777777" w:rsidR="00F922D6" w:rsidRDefault="002764A2">
      <w:pPr>
        <w:ind w:left="1134"/>
        <w:rPr>
          <w:rFonts w:ascii="Palatino Linotype" w:eastAsia="Palatino Linotype" w:hAnsi="Palatino Linotype" w:cs="Palatino Linotype"/>
          <w:i/>
          <w:sz w:val="20"/>
          <w:szCs w:val="20"/>
        </w:rPr>
      </w:pPr>
      <w:r>
        <w:rPr>
          <w:rFonts w:ascii="Palatino Linotype" w:eastAsia="Palatino Linotype" w:hAnsi="Palatino Linotype" w:cs="Palatino Linotype"/>
          <w:sz w:val="20"/>
          <w:szCs w:val="20"/>
        </w:rPr>
        <w:t xml:space="preserve">A discussion and defence of part of Hart’s view: although a system of norms can be legal without being based on moral norms, there is some relation between law and morality. Having read this essay, think carefully about what the similarities and differences are between Hart’s (and Green’s) view, and the view of Fuller – and/or the view of Finnis. </w:t>
      </w:r>
    </w:p>
    <w:p w14:paraId="0000001F" w14:textId="77777777" w:rsidR="00F922D6" w:rsidRDefault="00F922D6">
      <w:pPr>
        <w:ind w:left="567" w:hanging="567"/>
        <w:rPr>
          <w:rFonts w:ascii="Palatino Linotype" w:eastAsia="Palatino Linotype" w:hAnsi="Palatino Linotype" w:cs="Palatino Linotype"/>
          <w:smallCaps/>
          <w:sz w:val="24"/>
          <w:szCs w:val="24"/>
        </w:rPr>
      </w:pPr>
    </w:p>
    <w:p w14:paraId="00000020" w14:textId="77777777" w:rsidR="00F922D6" w:rsidRDefault="002764A2">
      <w:pPr>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Lars Vinx</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Hans Kelsen’s Pure Theory of Law: Legality and Legitimacy</w:t>
      </w:r>
      <w:r>
        <w:rPr>
          <w:rFonts w:ascii="Palatino Linotype" w:eastAsia="Palatino Linotype" w:hAnsi="Palatino Linotype" w:cs="Palatino Linotype"/>
          <w:sz w:val="24"/>
          <w:szCs w:val="24"/>
        </w:rPr>
        <w:t xml:space="preserve"> (Oxford: Oxford University Press, 2007)): Chapter 3</w:t>
      </w:r>
    </w:p>
    <w:p w14:paraId="00000021" w14:textId="77777777" w:rsidR="00F922D6" w:rsidRDefault="002764A2">
      <w:pPr>
        <w:ind w:left="1134"/>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On the issue of whether, according to Kelsen’s positivism, holders of legal offices </w:t>
      </w:r>
      <w:proofErr w:type="gramStart"/>
      <w:r>
        <w:rPr>
          <w:rFonts w:ascii="Palatino Linotype" w:eastAsia="Palatino Linotype" w:hAnsi="Palatino Linotype" w:cs="Palatino Linotype"/>
          <w:sz w:val="20"/>
          <w:szCs w:val="20"/>
        </w:rPr>
        <w:t>are able to</w:t>
      </w:r>
      <w:proofErr w:type="gramEnd"/>
      <w:r>
        <w:rPr>
          <w:rFonts w:ascii="Palatino Linotype" w:eastAsia="Palatino Linotype" w:hAnsi="Palatino Linotype" w:cs="Palatino Linotype"/>
          <w:sz w:val="20"/>
          <w:szCs w:val="20"/>
        </w:rPr>
        <w:t xml:space="preserve"> make legally proper judgments and law which contradict the rule of law: Vinx argues that Kelsen’s theory allows for both a great deal of freedom for legal officials </w:t>
      </w:r>
      <w:r>
        <w:rPr>
          <w:rFonts w:ascii="Palatino Linotype" w:eastAsia="Palatino Linotype" w:hAnsi="Palatino Linotype" w:cs="Palatino Linotype"/>
          <w:i/>
          <w:sz w:val="20"/>
          <w:szCs w:val="20"/>
        </w:rPr>
        <w:t xml:space="preserve">and </w:t>
      </w:r>
      <w:r>
        <w:rPr>
          <w:rFonts w:ascii="Palatino Linotype" w:eastAsia="Palatino Linotype" w:hAnsi="Palatino Linotype" w:cs="Palatino Linotype"/>
          <w:sz w:val="20"/>
          <w:szCs w:val="20"/>
        </w:rPr>
        <w:t>the dignity of the rule of law. Kelsen was the most influential positivist in the jurisprudential tradition of continental Europe (and was, amongst other things, responsible for drafting the Austrian constitution!).</w:t>
      </w:r>
    </w:p>
    <w:p w14:paraId="00000022" w14:textId="77777777" w:rsidR="00F922D6" w:rsidRDefault="00F922D6">
      <w:pPr>
        <w:ind w:left="1134"/>
        <w:rPr>
          <w:rFonts w:ascii="Palatino Linotype" w:eastAsia="Palatino Linotype" w:hAnsi="Palatino Linotype" w:cs="Palatino Linotype"/>
          <w:smallCaps/>
          <w:sz w:val="24"/>
          <w:szCs w:val="24"/>
        </w:rPr>
      </w:pPr>
    </w:p>
    <w:p w14:paraId="00000023" w14:textId="77777777" w:rsidR="00F922D6" w:rsidRDefault="002764A2">
      <w:pPr>
        <w:rPr>
          <w:rFonts w:ascii="Palatino Linotype" w:eastAsia="Palatino Linotype" w:hAnsi="Palatino Linotype" w:cs="Palatino Linotype"/>
          <w:smallCaps/>
          <w:sz w:val="24"/>
          <w:szCs w:val="24"/>
        </w:rPr>
      </w:pPr>
      <w:r>
        <w:rPr>
          <w:rFonts w:ascii="Palatino Linotype" w:eastAsia="Palatino Linotype" w:hAnsi="Palatino Linotype" w:cs="Palatino Linotype"/>
          <w:smallCaps/>
          <w:sz w:val="24"/>
          <w:szCs w:val="24"/>
        </w:rPr>
        <w:t>Natural Law</w:t>
      </w:r>
    </w:p>
    <w:p w14:paraId="00000024" w14:textId="77777777" w:rsidR="00F922D6" w:rsidRDefault="002764A2">
      <w:pPr>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*Lon L. Fuller</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The Morality of Law</w:t>
      </w:r>
      <w:r>
        <w:rPr>
          <w:rFonts w:ascii="Palatino Linotype" w:eastAsia="Palatino Linotype" w:hAnsi="Palatino Linotype" w:cs="Palatino Linotype"/>
          <w:sz w:val="24"/>
          <w:szCs w:val="24"/>
        </w:rPr>
        <w:t xml:space="preserve"> (Revised Edition, New Haven: Yale University Press, 1969 [1964]): Chapters 2 &amp; 3 and Chapter 5 (esp. ‘Do the Principles of Legality Constitute an “Internal Morality of Law”?’)</w:t>
      </w:r>
    </w:p>
    <w:p w14:paraId="00000025" w14:textId="77777777" w:rsidR="00F922D6" w:rsidRDefault="002764A2">
      <w:pPr>
        <w:ind w:left="1134"/>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Fuller articulates and defends an interesting variant of what might be called a natural law theory opposed to positivism: he argues that what he calls ‘external’ (or we might call ‘substantive’) moral principles do not determine what the law is; but there is an ‘internal’ morality of law which means that what counts as law depends upon the degree to which norms comply with eight principles governing the efficiency and fairness of ways of regulating behaviour. </w:t>
      </w:r>
    </w:p>
    <w:p w14:paraId="00000026" w14:textId="77777777" w:rsidR="00F922D6" w:rsidRDefault="00F922D6">
      <w:pPr>
        <w:ind w:left="567" w:hanging="567"/>
        <w:rPr>
          <w:rFonts w:ascii="Palatino Linotype" w:eastAsia="Palatino Linotype" w:hAnsi="Palatino Linotype" w:cs="Palatino Linotype"/>
          <w:sz w:val="24"/>
          <w:szCs w:val="24"/>
        </w:rPr>
      </w:pPr>
    </w:p>
    <w:p w14:paraId="00000027" w14:textId="77777777" w:rsidR="00F922D6" w:rsidRDefault="002764A2">
      <w:pPr>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*John Finnis</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Natural Law and Natural Rights</w:t>
      </w:r>
      <w:r>
        <w:rPr>
          <w:rFonts w:ascii="Palatino Linotype" w:eastAsia="Palatino Linotype" w:hAnsi="Palatino Linotype" w:cs="Palatino Linotype"/>
          <w:sz w:val="24"/>
          <w:szCs w:val="24"/>
        </w:rPr>
        <w:t xml:space="preserve"> (Second Edition, Oxford: OUP, 2011 [1980]): Chapter 10</w:t>
      </w:r>
    </w:p>
    <w:p w14:paraId="00000028" w14:textId="77777777" w:rsidR="00F922D6" w:rsidRDefault="002764A2">
      <w:pPr>
        <w:ind w:left="1134"/>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Finnis has a distinctive form of natural law theory, different from Fuller’s in important ways but quite </w:t>
      </w:r>
      <w:proofErr w:type="gramStart"/>
      <w:r>
        <w:rPr>
          <w:rFonts w:ascii="Palatino Linotype" w:eastAsia="Palatino Linotype" w:hAnsi="Palatino Linotype" w:cs="Palatino Linotype"/>
          <w:sz w:val="20"/>
          <w:szCs w:val="20"/>
        </w:rPr>
        <w:t>similar to</w:t>
      </w:r>
      <w:proofErr w:type="gramEnd"/>
      <w:r>
        <w:rPr>
          <w:rFonts w:ascii="Palatino Linotype" w:eastAsia="Palatino Linotype" w:hAnsi="Palatino Linotype" w:cs="Palatino Linotype"/>
          <w:sz w:val="20"/>
          <w:szCs w:val="20"/>
        </w:rPr>
        <w:t xml:space="preserve"> it in others. Crucially, Finnis sees the fundamental question about the existence of law as a </w:t>
      </w:r>
      <w:r>
        <w:rPr>
          <w:rFonts w:ascii="Palatino Linotype" w:eastAsia="Palatino Linotype" w:hAnsi="Palatino Linotype" w:cs="Palatino Linotype"/>
          <w:i/>
          <w:sz w:val="20"/>
          <w:szCs w:val="20"/>
        </w:rPr>
        <w:t>normative</w:t>
      </w:r>
      <w:r>
        <w:rPr>
          <w:rFonts w:ascii="Palatino Linotype" w:eastAsia="Palatino Linotype" w:hAnsi="Palatino Linotype" w:cs="Palatino Linotype"/>
          <w:sz w:val="20"/>
          <w:szCs w:val="20"/>
        </w:rPr>
        <w:t xml:space="preserve"> one, connected to ideas about the human good.</w:t>
      </w:r>
    </w:p>
    <w:p w14:paraId="00000029" w14:textId="77777777" w:rsidR="00F922D6" w:rsidRDefault="00F922D6">
      <w:pPr>
        <w:ind w:left="1134"/>
        <w:rPr>
          <w:rFonts w:ascii="Palatino Linotype" w:eastAsia="Palatino Linotype" w:hAnsi="Palatino Linotype" w:cs="Palatino Linotype"/>
          <w:sz w:val="24"/>
          <w:szCs w:val="24"/>
        </w:rPr>
      </w:pPr>
    </w:p>
    <w:p w14:paraId="0000002A" w14:textId="77777777" w:rsidR="00F922D6" w:rsidRDefault="002764A2">
      <w:pPr>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John Finnis</w:t>
      </w:r>
      <w:r>
        <w:rPr>
          <w:rFonts w:ascii="Palatino Linotype" w:eastAsia="Palatino Linotype" w:hAnsi="Palatino Linotype" w:cs="Palatino Linotype"/>
          <w:sz w:val="24"/>
          <w:szCs w:val="24"/>
        </w:rPr>
        <w:t xml:space="preserve">, ‘Describing Law Normatively’ in </w:t>
      </w:r>
      <w:r>
        <w:rPr>
          <w:rFonts w:ascii="Palatino Linotype" w:eastAsia="Palatino Linotype" w:hAnsi="Palatino Linotype" w:cs="Palatino Linotype"/>
          <w:i/>
          <w:sz w:val="24"/>
          <w:szCs w:val="24"/>
        </w:rPr>
        <w:t>Philosophy of Law: Collected Essays vol. 4</w:t>
      </w:r>
      <w:r>
        <w:rPr>
          <w:rFonts w:ascii="Palatino Linotype" w:eastAsia="Palatino Linotype" w:hAnsi="Palatino Linotype" w:cs="Palatino Linotype"/>
          <w:sz w:val="24"/>
          <w:szCs w:val="24"/>
        </w:rPr>
        <w:t xml:space="preserve"> (Oxford: OUP, 2011)</w:t>
      </w:r>
    </w:p>
    <w:p w14:paraId="0000002B" w14:textId="77777777" w:rsidR="00F922D6" w:rsidRDefault="002764A2">
      <w:pPr>
        <w:ind w:left="1134"/>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More on the normative aspect of Finnis’s view of law.</w:t>
      </w:r>
    </w:p>
    <w:p w14:paraId="0000002C" w14:textId="77777777" w:rsidR="00F922D6" w:rsidRDefault="00F922D6">
      <w:pPr>
        <w:ind w:left="567" w:hanging="567"/>
        <w:rPr>
          <w:rFonts w:ascii="Palatino Linotype" w:eastAsia="Palatino Linotype" w:hAnsi="Palatino Linotype" w:cs="Palatino Linotype"/>
          <w:b/>
          <w:sz w:val="24"/>
          <w:szCs w:val="24"/>
        </w:rPr>
      </w:pPr>
    </w:p>
    <w:p w14:paraId="0000002D" w14:textId="77777777" w:rsidR="00F922D6" w:rsidRDefault="002764A2">
      <w:pPr>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Herlinde Pauer-Studer</w:t>
      </w:r>
      <w:r>
        <w:rPr>
          <w:rFonts w:ascii="Palatino Linotype" w:eastAsia="Palatino Linotype" w:hAnsi="Palatino Linotype" w:cs="Palatino Linotype"/>
          <w:sz w:val="24"/>
          <w:szCs w:val="24"/>
        </w:rPr>
        <w:t xml:space="preserve">, ‘Kelsen’s Legal Positivism and the Challenge of Nazi Law’, </w:t>
      </w:r>
      <w:r>
        <w:rPr>
          <w:rFonts w:ascii="Palatino Linotype" w:eastAsia="Palatino Linotype" w:hAnsi="Palatino Linotype" w:cs="Palatino Linotype"/>
          <w:i/>
          <w:sz w:val="24"/>
          <w:szCs w:val="24"/>
        </w:rPr>
        <w:t>Vienna Circle Yearbook</w:t>
      </w:r>
      <w:r>
        <w:rPr>
          <w:rFonts w:ascii="Palatino Linotype" w:eastAsia="Palatino Linotype" w:hAnsi="Palatino Linotype" w:cs="Palatino Linotype"/>
          <w:sz w:val="24"/>
          <w:szCs w:val="24"/>
        </w:rPr>
        <w:t xml:space="preserve"> 17 (2014), pp. 223-40 (download from </w:t>
      </w:r>
      <w:hyperlink r:id="rId7">
        <w:r>
          <w:rPr>
            <w:rFonts w:ascii="Palatino Linotype" w:eastAsia="Palatino Linotype" w:hAnsi="Palatino Linotype" w:cs="Palatino Linotype"/>
            <w:color w:val="0563C1"/>
            <w:sz w:val="24"/>
            <w:szCs w:val="24"/>
            <w:u w:val="single"/>
          </w:rPr>
          <w:t>http://homepage.univie.ac.at/Herlinde.Pauer-Studer//wp-content/uploads/2016/02/Hans-Kelsens-Legal-Positivism-and-the-Challenge-of-Nazi-Law.pdf</w:t>
        </w:r>
      </w:hyperlink>
      <w:r>
        <w:rPr>
          <w:rFonts w:ascii="Palatino Linotype" w:eastAsia="Palatino Linotype" w:hAnsi="Palatino Linotype" w:cs="Palatino Linotype"/>
          <w:sz w:val="24"/>
          <w:szCs w:val="24"/>
        </w:rPr>
        <w:t xml:space="preserve">) </w:t>
      </w:r>
    </w:p>
    <w:p w14:paraId="0000002E" w14:textId="77777777" w:rsidR="00F922D6" w:rsidRDefault="002764A2">
      <w:pPr>
        <w:ind w:left="1134"/>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Here, Pauer-Studer presents an interesting survey of some Nazi legal scholarship. The point of this is to address a common (post-war) worry about positivism: that according </w:t>
      </w:r>
      <w:r>
        <w:rPr>
          <w:rFonts w:ascii="Palatino Linotype" w:eastAsia="Palatino Linotype" w:hAnsi="Palatino Linotype" w:cs="Palatino Linotype"/>
          <w:sz w:val="20"/>
          <w:szCs w:val="20"/>
        </w:rPr>
        <w:lastRenderedPageBreak/>
        <w:t xml:space="preserve">to that view, even the laws of evil and tyrannical governments should be respected, which would be a ridiculous view to hold. She points out that it was not </w:t>
      </w:r>
      <w:r>
        <w:rPr>
          <w:rFonts w:ascii="Palatino Linotype" w:eastAsia="Palatino Linotype" w:hAnsi="Palatino Linotype" w:cs="Palatino Linotype"/>
          <w:i/>
          <w:sz w:val="20"/>
          <w:szCs w:val="20"/>
        </w:rPr>
        <w:t>positivism</w:t>
      </w:r>
      <w:r>
        <w:rPr>
          <w:rFonts w:ascii="Palatino Linotype" w:eastAsia="Palatino Linotype" w:hAnsi="Palatino Linotype" w:cs="Palatino Linotype"/>
          <w:sz w:val="20"/>
          <w:szCs w:val="20"/>
        </w:rPr>
        <w:t xml:space="preserve"> which was invoked by most of the leading Nazi legal theorists but something closer to a form of natural law theory, or at least a view according to which law should be guided by social morality (if not ideal or objective morality). Think about (a) whether this shows that the objection to positivism is disarmed and (b) what her discussion of N</w:t>
      </w:r>
      <w:r>
        <w:rPr>
          <w:rFonts w:ascii="Palatino Linotype" w:eastAsia="Palatino Linotype" w:hAnsi="Palatino Linotype" w:cs="Palatino Linotype"/>
          <w:sz w:val="20"/>
          <w:szCs w:val="20"/>
        </w:rPr>
        <w:t xml:space="preserve">azi legal theory shows (and doesn’t show) about natural law theories and other views which link law to morality. </w:t>
      </w:r>
    </w:p>
    <w:p w14:paraId="0000002F" w14:textId="77777777" w:rsidR="00F922D6" w:rsidRDefault="00F922D6">
      <w:pPr>
        <w:ind w:left="567" w:hanging="567"/>
        <w:rPr>
          <w:rFonts w:ascii="Palatino Linotype" w:eastAsia="Palatino Linotype" w:hAnsi="Palatino Linotype" w:cs="Palatino Linotype"/>
          <w:sz w:val="24"/>
          <w:szCs w:val="24"/>
        </w:rPr>
      </w:pPr>
    </w:p>
    <w:p w14:paraId="00000030" w14:textId="77777777" w:rsidR="00F922D6" w:rsidRDefault="002764A2">
      <w:pPr>
        <w:rPr>
          <w:rFonts w:ascii="Palatino Linotype" w:eastAsia="Palatino Linotype" w:hAnsi="Palatino Linotype" w:cs="Palatino Linotype"/>
          <w:b/>
          <w:sz w:val="24"/>
          <w:szCs w:val="24"/>
        </w:rPr>
      </w:pPr>
      <w:r>
        <w:rPr>
          <w:rFonts w:ascii="Palatino Linotype" w:eastAsia="Palatino Linotype" w:hAnsi="Palatino Linotype" w:cs="Palatino Linotype"/>
          <w:smallCaps/>
          <w:sz w:val="24"/>
          <w:szCs w:val="24"/>
        </w:rPr>
        <w:t>Another View</w:t>
      </w:r>
    </w:p>
    <w:p w14:paraId="00000031" w14:textId="77777777" w:rsidR="00F922D6" w:rsidRDefault="002764A2">
      <w:pPr>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*Ronald Dworkin</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Law’s Empire</w:t>
      </w:r>
      <w:r>
        <w:rPr>
          <w:rFonts w:ascii="Palatino Linotype" w:eastAsia="Palatino Linotype" w:hAnsi="Palatino Linotype" w:cs="Palatino Linotype"/>
          <w:sz w:val="24"/>
          <w:szCs w:val="24"/>
        </w:rPr>
        <w:t xml:space="preserve"> (Oxford: Hart Publishing, 1998): Chapter 3. </w:t>
      </w:r>
    </w:p>
    <w:p w14:paraId="00000032" w14:textId="77777777" w:rsidR="00F922D6" w:rsidRDefault="002764A2">
      <w:pPr>
        <w:ind w:left="1134"/>
        <w:rPr>
          <w:rFonts w:ascii="Palatino Linotype" w:eastAsia="Palatino Linotype" w:hAnsi="Palatino Linotype" w:cs="Palatino Linotype"/>
          <w:sz w:val="20"/>
          <w:szCs w:val="20"/>
        </w:rPr>
      </w:pPr>
      <w:r>
        <w:rPr>
          <w:rFonts w:ascii="Palatino Linotype" w:eastAsia="Palatino Linotype" w:hAnsi="Palatino Linotype" w:cs="Palatino Linotype"/>
          <w:color w:val="000000"/>
          <w:sz w:val="20"/>
          <w:szCs w:val="20"/>
        </w:rPr>
        <w:t>D</w:t>
      </w:r>
      <w:r>
        <w:rPr>
          <w:rFonts w:ascii="Palatino Linotype" w:eastAsia="Palatino Linotype" w:hAnsi="Palatino Linotype" w:cs="Palatino Linotype"/>
          <w:sz w:val="20"/>
          <w:szCs w:val="20"/>
        </w:rPr>
        <w:t>workin defends an ‘interpretive’ view of the theory of law: what counts as law depends upon what a reasonable interpretation of the political intentions behind statutes would be.</w:t>
      </w:r>
    </w:p>
    <w:p w14:paraId="00000033" w14:textId="77777777" w:rsidR="00F922D6" w:rsidRDefault="00F922D6">
      <w:pPr>
        <w:ind w:left="567" w:hanging="567"/>
        <w:rPr>
          <w:rFonts w:ascii="Palatino Linotype" w:eastAsia="Palatino Linotype" w:hAnsi="Palatino Linotype" w:cs="Palatino Linotype"/>
          <w:sz w:val="24"/>
          <w:szCs w:val="24"/>
        </w:rPr>
      </w:pPr>
    </w:p>
    <w:p w14:paraId="00000034" w14:textId="77777777" w:rsidR="00F922D6" w:rsidRDefault="002764A2">
      <w:pPr>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John Gardner</w:t>
      </w:r>
      <w:r>
        <w:rPr>
          <w:rFonts w:ascii="Palatino Linotype" w:eastAsia="Palatino Linotype" w:hAnsi="Palatino Linotype" w:cs="Palatino Linotype"/>
          <w:sz w:val="24"/>
          <w:szCs w:val="24"/>
        </w:rPr>
        <w:t xml:space="preserve">, ‘Law’s Aims in Law’s Empire’ in Scott Herschovitz (ed.) </w:t>
      </w:r>
      <w:r>
        <w:rPr>
          <w:rFonts w:ascii="Palatino Linotype" w:eastAsia="Palatino Linotype" w:hAnsi="Palatino Linotype" w:cs="Palatino Linotype"/>
          <w:i/>
          <w:sz w:val="24"/>
          <w:szCs w:val="24"/>
        </w:rPr>
        <w:t>Exploring Law’s Empire: The Jurisprudence of Ronald Dworkin</w:t>
      </w:r>
      <w:r>
        <w:rPr>
          <w:rFonts w:ascii="Palatino Linotype" w:eastAsia="Palatino Linotype" w:hAnsi="Palatino Linotype" w:cs="Palatino Linotype"/>
          <w:sz w:val="24"/>
          <w:szCs w:val="24"/>
        </w:rPr>
        <w:t xml:space="preserve"> (Oxford: OUP, 2008)</w:t>
      </w:r>
    </w:p>
    <w:p w14:paraId="00000035" w14:textId="77777777" w:rsidR="00F922D6" w:rsidRDefault="002764A2">
      <w:pPr>
        <w:ind w:left="1134"/>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Discusses Dworkin’s </w:t>
      </w:r>
      <w:proofErr w:type="gramStart"/>
      <w:r>
        <w:rPr>
          <w:rFonts w:ascii="Palatino Linotype" w:eastAsia="Palatino Linotype" w:hAnsi="Palatino Linotype" w:cs="Palatino Linotype"/>
          <w:sz w:val="20"/>
          <w:szCs w:val="20"/>
        </w:rPr>
        <w:t>view, and</w:t>
      </w:r>
      <w:proofErr w:type="gramEnd"/>
      <w:r>
        <w:rPr>
          <w:rFonts w:ascii="Palatino Linotype" w:eastAsia="Palatino Linotype" w:hAnsi="Palatino Linotype" w:cs="Palatino Linotype"/>
          <w:sz w:val="20"/>
          <w:szCs w:val="20"/>
        </w:rPr>
        <w:t xml:space="preserve"> suggests that it might come closer to positivism than Dworkin supposes. </w:t>
      </w:r>
    </w:p>
    <w:p w14:paraId="00000036" w14:textId="77777777" w:rsidR="00F922D6" w:rsidRDefault="00F922D6">
      <w:pPr>
        <w:rPr>
          <w:rFonts w:ascii="Palatino Linotype" w:eastAsia="Palatino Linotype" w:hAnsi="Palatino Linotype" w:cs="Palatino Linotype"/>
          <w:sz w:val="24"/>
          <w:szCs w:val="24"/>
        </w:rPr>
      </w:pPr>
    </w:p>
    <w:p w14:paraId="00000037" w14:textId="77777777" w:rsidR="00F922D6" w:rsidRDefault="002764A2">
      <w:pPr>
        <w:ind w:left="567" w:hanging="567"/>
        <w:rPr>
          <w:rFonts w:ascii="Palatino Linotype" w:eastAsia="Palatino Linotype" w:hAnsi="Palatino Linotype" w:cs="Palatino Linotype"/>
          <w:smallCaps/>
          <w:sz w:val="24"/>
          <w:szCs w:val="24"/>
        </w:rPr>
      </w:pPr>
      <w:r>
        <w:rPr>
          <w:rFonts w:ascii="Palatino Linotype" w:eastAsia="Palatino Linotype" w:hAnsi="Palatino Linotype" w:cs="Palatino Linotype"/>
          <w:smallCaps/>
          <w:sz w:val="24"/>
          <w:szCs w:val="24"/>
        </w:rPr>
        <w:t>2. Morality and Law</w:t>
      </w:r>
    </w:p>
    <w:p w14:paraId="00000038" w14:textId="77777777" w:rsidR="00F922D6" w:rsidRDefault="002764A2">
      <w:pPr>
        <w:ind w:left="567" w:hanging="567"/>
        <w:rPr>
          <w:rFonts w:ascii="Palatino Linotype" w:eastAsia="Palatino Linotype" w:hAnsi="Palatino Linotype" w:cs="Palatino Linotype"/>
          <w:smallCaps/>
          <w:sz w:val="24"/>
          <w:szCs w:val="24"/>
        </w:rPr>
      </w:pPr>
      <w:r>
        <w:rPr>
          <w:rFonts w:ascii="Palatino Linotype" w:eastAsia="Palatino Linotype" w:hAnsi="Palatino Linotype" w:cs="Palatino Linotype"/>
          <w:smallCaps/>
          <w:sz w:val="24"/>
          <w:szCs w:val="24"/>
        </w:rPr>
        <w:t>The Effect of Law on Morality</w:t>
      </w:r>
    </w:p>
    <w:p w14:paraId="00000039" w14:textId="77777777" w:rsidR="00F922D6" w:rsidRDefault="002764A2">
      <w:pPr>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*Leslie Green</w:t>
      </w:r>
      <w:r>
        <w:rPr>
          <w:rFonts w:ascii="Palatino Linotype" w:eastAsia="Palatino Linotype" w:hAnsi="Palatino Linotype" w:cs="Palatino Linotype"/>
          <w:sz w:val="24"/>
          <w:szCs w:val="24"/>
        </w:rPr>
        <w:t xml:space="preserve">, ‘Should Law Improve Morality?’, </w:t>
      </w:r>
      <w:r>
        <w:rPr>
          <w:rFonts w:ascii="Palatino Linotype" w:eastAsia="Palatino Linotype" w:hAnsi="Palatino Linotype" w:cs="Palatino Linotype"/>
          <w:i/>
          <w:sz w:val="24"/>
          <w:szCs w:val="24"/>
        </w:rPr>
        <w:t>Criminal Law and Philosophy</w:t>
      </w:r>
      <w:r>
        <w:rPr>
          <w:rFonts w:ascii="Palatino Linotype" w:eastAsia="Palatino Linotype" w:hAnsi="Palatino Linotype" w:cs="Palatino Linotype"/>
          <w:sz w:val="24"/>
          <w:szCs w:val="24"/>
        </w:rPr>
        <w:t xml:space="preserve"> 7 (2013), pp. 473-94</w:t>
      </w:r>
    </w:p>
    <w:p w14:paraId="0000003A" w14:textId="77777777" w:rsidR="00F922D6" w:rsidRDefault="002764A2">
      <w:pPr>
        <w:ind w:left="1134" w:hanging="567"/>
        <w:rPr>
          <w:rFonts w:ascii="Palatino Linotype" w:eastAsia="Palatino Linotype" w:hAnsi="Palatino Linotype" w:cs="Palatino Linotype"/>
          <w:sz w:val="20"/>
          <w:szCs w:val="20"/>
        </w:rPr>
      </w:pPr>
      <w:r>
        <w:rPr>
          <w:rFonts w:ascii="Palatino Linotype" w:eastAsia="Palatino Linotype" w:hAnsi="Palatino Linotype" w:cs="Palatino Linotype"/>
          <w:b/>
          <w:sz w:val="24"/>
          <w:szCs w:val="24"/>
        </w:rPr>
        <w:tab/>
      </w:r>
      <w:r>
        <w:rPr>
          <w:rFonts w:ascii="Palatino Linotype" w:eastAsia="Palatino Linotype" w:hAnsi="Palatino Linotype" w:cs="Palatino Linotype"/>
          <w:sz w:val="20"/>
          <w:szCs w:val="20"/>
        </w:rPr>
        <w:t xml:space="preserve">There is a traditional debate about whether the law should include prohibitions against things which are </w:t>
      </w:r>
      <w:proofErr w:type="gramStart"/>
      <w:r>
        <w:rPr>
          <w:rFonts w:ascii="Palatino Linotype" w:eastAsia="Palatino Linotype" w:hAnsi="Palatino Linotype" w:cs="Palatino Linotype"/>
          <w:sz w:val="20"/>
          <w:szCs w:val="20"/>
        </w:rPr>
        <w:t>immoral, or</w:t>
      </w:r>
      <w:proofErr w:type="gramEnd"/>
      <w:r>
        <w:rPr>
          <w:rFonts w:ascii="Palatino Linotype" w:eastAsia="Palatino Linotype" w:hAnsi="Palatino Linotype" w:cs="Palatino Linotype"/>
          <w:sz w:val="20"/>
          <w:szCs w:val="20"/>
        </w:rPr>
        <w:t xml:space="preserve"> generally considered to be immoral. (For more on the traditional debate, see two short and very readable books: H. L. A. Hart, </w:t>
      </w:r>
      <w:r>
        <w:rPr>
          <w:rFonts w:ascii="Palatino Linotype" w:eastAsia="Palatino Linotype" w:hAnsi="Palatino Linotype" w:cs="Palatino Linotype"/>
          <w:i/>
          <w:sz w:val="20"/>
          <w:szCs w:val="20"/>
        </w:rPr>
        <w:t>Law, Liberty and Morality</w:t>
      </w:r>
      <w:r>
        <w:rPr>
          <w:rFonts w:ascii="Palatino Linotype" w:eastAsia="Palatino Linotype" w:hAnsi="Palatino Linotype" w:cs="Palatino Linotype"/>
          <w:sz w:val="20"/>
          <w:szCs w:val="20"/>
        </w:rPr>
        <w:t xml:space="preserve"> and Patrick Devlin, </w:t>
      </w:r>
      <w:r>
        <w:rPr>
          <w:rFonts w:ascii="Palatino Linotype" w:eastAsia="Palatino Linotype" w:hAnsi="Palatino Linotype" w:cs="Palatino Linotype"/>
          <w:i/>
          <w:sz w:val="20"/>
          <w:szCs w:val="20"/>
        </w:rPr>
        <w:t>The Enforcement of Morals</w:t>
      </w:r>
      <w:r>
        <w:rPr>
          <w:rFonts w:ascii="Palatino Linotype" w:eastAsia="Palatino Linotype" w:hAnsi="Palatino Linotype" w:cs="Palatino Linotype"/>
          <w:sz w:val="20"/>
          <w:szCs w:val="20"/>
        </w:rPr>
        <w:t xml:space="preserve">, both cited in this paper.) Green briefly surveys this </w:t>
      </w:r>
      <w:proofErr w:type="gramStart"/>
      <w:r>
        <w:rPr>
          <w:rFonts w:ascii="Palatino Linotype" w:eastAsia="Palatino Linotype" w:hAnsi="Palatino Linotype" w:cs="Palatino Linotype"/>
          <w:sz w:val="20"/>
          <w:szCs w:val="20"/>
        </w:rPr>
        <w:t>debate, but</w:t>
      </w:r>
      <w:proofErr w:type="gramEnd"/>
      <w:r>
        <w:rPr>
          <w:rFonts w:ascii="Palatino Linotype" w:eastAsia="Palatino Linotype" w:hAnsi="Palatino Linotype" w:cs="Palatino Linotype"/>
          <w:sz w:val="20"/>
          <w:szCs w:val="20"/>
        </w:rPr>
        <w:t xml:space="preserve"> then goes on to argue that </w:t>
      </w:r>
      <w:proofErr w:type="gramStart"/>
      <w:r>
        <w:rPr>
          <w:rFonts w:ascii="Palatino Linotype" w:eastAsia="Palatino Linotype" w:hAnsi="Palatino Linotype" w:cs="Palatino Linotype"/>
          <w:sz w:val="20"/>
          <w:szCs w:val="20"/>
        </w:rPr>
        <w:t>whether or not</w:t>
      </w:r>
      <w:proofErr w:type="gramEnd"/>
      <w:r>
        <w:rPr>
          <w:rFonts w:ascii="Palatino Linotype" w:eastAsia="Palatino Linotype" w:hAnsi="Palatino Linotype" w:cs="Palatino Linotype"/>
          <w:sz w:val="20"/>
          <w:szCs w:val="20"/>
        </w:rPr>
        <w:t xml:space="preserve"> law should </w:t>
      </w:r>
      <w:r>
        <w:rPr>
          <w:rFonts w:ascii="Palatino Linotype" w:eastAsia="Palatino Linotype" w:hAnsi="Palatino Linotype" w:cs="Palatino Linotype"/>
          <w:i/>
          <w:sz w:val="20"/>
          <w:szCs w:val="20"/>
        </w:rPr>
        <w:t>reflect</w:t>
      </w:r>
      <w:r>
        <w:rPr>
          <w:rFonts w:ascii="Palatino Linotype" w:eastAsia="Palatino Linotype" w:hAnsi="Palatino Linotype" w:cs="Palatino Linotype"/>
          <w:sz w:val="20"/>
          <w:szCs w:val="20"/>
        </w:rPr>
        <w:t xml:space="preserve"> social morality, it ought to sometimes </w:t>
      </w:r>
      <w:r>
        <w:rPr>
          <w:rFonts w:ascii="Palatino Linotype" w:eastAsia="Palatino Linotype" w:hAnsi="Palatino Linotype" w:cs="Palatino Linotype"/>
          <w:i/>
          <w:sz w:val="20"/>
          <w:szCs w:val="20"/>
        </w:rPr>
        <w:t>influence</w:t>
      </w:r>
      <w:r>
        <w:rPr>
          <w:rFonts w:ascii="Palatino Linotype" w:eastAsia="Palatino Linotype" w:hAnsi="Palatino Linotype" w:cs="Palatino Linotype"/>
          <w:sz w:val="20"/>
          <w:szCs w:val="20"/>
        </w:rPr>
        <w:t xml:space="preserve"> social morality. </w:t>
      </w:r>
    </w:p>
    <w:p w14:paraId="0000003B" w14:textId="77777777" w:rsidR="00F922D6" w:rsidRDefault="00F922D6">
      <w:pPr>
        <w:ind w:left="567" w:hanging="567"/>
        <w:rPr>
          <w:rFonts w:ascii="Palatino Linotype" w:eastAsia="Palatino Linotype" w:hAnsi="Palatino Linotype" w:cs="Palatino Linotype"/>
          <w:sz w:val="24"/>
          <w:szCs w:val="24"/>
        </w:rPr>
      </w:pPr>
    </w:p>
    <w:p w14:paraId="0000003C" w14:textId="77777777" w:rsidR="00F922D6" w:rsidRDefault="002764A2">
      <w:pPr>
        <w:ind w:left="567" w:hanging="567"/>
        <w:rPr>
          <w:rFonts w:ascii="Palatino Linotype" w:eastAsia="Palatino Linotype" w:hAnsi="Palatino Linotype" w:cs="Palatino Linotype"/>
          <w:smallCaps/>
          <w:sz w:val="24"/>
          <w:szCs w:val="24"/>
        </w:rPr>
      </w:pPr>
      <w:r>
        <w:rPr>
          <w:rFonts w:ascii="Palatino Linotype" w:eastAsia="Palatino Linotype" w:hAnsi="Palatino Linotype" w:cs="Palatino Linotype"/>
          <w:smallCaps/>
          <w:sz w:val="24"/>
          <w:szCs w:val="24"/>
        </w:rPr>
        <w:t>Authority and Obligations to Obey the Law</w:t>
      </w:r>
    </w:p>
    <w:p w14:paraId="0000003D" w14:textId="77777777" w:rsidR="00F922D6" w:rsidRDefault="002764A2">
      <w:pPr>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*Joseph Raz</w:t>
      </w:r>
      <w:r>
        <w:rPr>
          <w:rFonts w:ascii="Palatino Linotype" w:eastAsia="Palatino Linotype" w:hAnsi="Palatino Linotype" w:cs="Palatino Linotype"/>
          <w:sz w:val="24"/>
          <w:szCs w:val="24"/>
        </w:rPr>
        <w:t xml:space="preserve">, ‘The Obligation to Obey: Revision and Tradition’, </w:t>
      </w:r>
      <w:r>
        <w:rPr>
          <w:rFonts w:ascii="Palatino Linotype" w:eastAsia="Palatino Linotype" w:hAnsi="Palatino Linotype" w:cs="Palatino Linotype"/>
          <w:i/>
          <w:sz w:val="24"/>
          <w:szCs w:val="24"/>
        </w:rPr>
        <w:t>Notre Dame Journal of Law, Ethics and Public Policy</w:t>
      </w:r>
      <w:r>
        <w:rPr>
          <w:rFonts w:ascii="Palatino Linotype" w:eastAsia="Palatino Linotype" w:hAnsi="Palatino Linotype" w:cs="Palatino Linotype"/>
          <w:sz w:val="24"/>
          <w:szCs w:val="24"/>
        </w:rPr>
        <w:t xml:space="preserve"> 1 (1984); reprinted in </w:t>
      </w:r>
      <w:r>
        <w:rPr>
          <w:rFonts w:ascii="Palatino Linotype" w:eastAsia="Palatino Linotype" w:hAnsi="Palatino Linotype" w:cs="Palatino Linotype"/>
          <w:i/>
          <w:sz w:val="24"/>
          <w:szCs w:val="24"/>
        </w:rPr>
        <w:t>Ethics in the Public Domain: Essays in the Morality of Law and Politics</w:t>
      </w:r>
      <w:r>
        <w:rPr>
          <w:rFonts w:ascii="Palatino Linotype" w:eastAsia="Palatino Linotype" w:hAnsi="Palatino Linotype" w:cs="Palatino Linotype"/>
          <w:sz w:val="24"/>
          <w:szCs w:val="24"/>
        </w:rPr>
        <w:t xml:space="preserve"> (Oxford: Clarendon, 1994)</w:t>
      </w:r>
    </w:p>
    <w:p w14:paraId="0000003E" w14:textId="77777777" w:rsidR="00F922D6" w:rsidRDefault="002764A2">
      <w:pPr>
        <w:ind w:left="1134"/>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Raz argues that the law can be an instrument of social coordination regardless of whether we have a moral duty to obey the law – which, he suggests, means that law can lack </w:t>
      </w:r>
      <w:r>
        <w:rPr>
          <w:rFonts w:ascii="Palatino Linotype" w:eastAsia="Palatino Linotype" w:hAnsi="Palatino Linotype" w:cs="Palatino Linotype"/>
          <w:i/>
          <w:sz w:val="20"/>
          <w:szCs w:val="20"/>
        </w:rPr>
        <w:t>authority</w:t>
      </w:r>
      <w:r>
        <w:rPr>
          <w:rFonts w:ascii="Palatino Linotype" w:eastAsia="Palatino Linotype" w:hAnsi="Palatino Linotype" w:cs="Palatino Linotype"/>
          <w:sz w:val="20"/>
          <w:szCs w:val="20"/>
        </w:rPr>
        <w:t xml:space="preserve"> but still be good law. </w:t>
      </w:r>
      <w:proofErr w:type="gramStart"/>
      <w:r>
        <w:rPr>
          <w:rFonts w:ascii="Palatino Linotype" w:eastAsia="Palatino Linotype" w:hAnsi="Palatino Linotype" w:cs="Palatino Linotype"/>
          <w:sz w:val="20"/>
          <w:szCs w:val="20"/>
        </w:rPr>
        <w:t>So</w:t>
      </w:r>
      <w:proofErr w:type="gramEnd"/>
      <w:r>
        <w:rPr>
          <w:rFonts w:ascii="Palatino Linotype" w:eastAsia="Palatino Linotype" w:hAnsi="Palatino Linotype" w:cs="Palatino Linotype"/>
          <w:sz w:val="20"/>
          <w:szCs w:val="20"/>
        </w:rPr>
        <w:t xml:space="preserve"> this paper is interesting in (at least) two respects: (i) it argues that there is not a general moral obligation to obey the law; and (ii) it casts some assumptions in the debate about legal positivism (see the texts by Hart, Fuller and Finnis) in a rather different light. </w:t>
      </w:r>
    </w:p>
    <w:p w14:paraId="0000003F" w14:textId="77777777" w:rsidR="00F922D6" w:rsidRDefault="00F922D6">
      <w:pPr>
        <w:ind w:left="567" w:hanging="567"/>
        <w:rPr>
          <w:rFonts w:ascii="Palatino Linotype" w:eastAsia="Palatino Linotype" w:hAnsi="Palatino Linotype" w:cs="Palatino Linotype"/>
          <w:sz w:val="24"/>
          <w:szCs w:val="24"/>
        </w:rPr>
      </w:pPr>
    </w:p>
    <w:p w14:paraId="00000040" w14:textId="77777777" w:rsidR="00F922D6" w:rsidRDefault="002764A2">
      <w:pPr>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Stephen Perry</w:t>
      </w:r>
      <w:r>
        <w:rPr>
          <w:rFonts w:ascii="Palatino Linotype" w:eastAsia="Palatino Linotype" w:hAnsi="Palatino Linotype" w:cs="Palatino Linotype"/>
          <w:sz w:val="24"/>
          <w:szCs w:val="24"/>
        </w:rPr>
        <w:t xml:space="preserve">, ‘Associative Obligations and the Obligation to Obey the Law’ in Scott Herschovitz (ed.) </w:t>
      </w:r>
      <w:r>
        <w:rPr>
          <w:rFonts w:ascii="Palatino Linotype" w:eastAsia="Palatino Linotype" w:hAnsi="Palatino Linotype" w:cs="Palatino Linotype"/>
          <w:i/>
          <w:sz w:val="24"/>
          <w:szCs w:val="24"/>
        </w:rPr>
        <w:t>Exploring Law’s Empire: The Jurisprudence of Ronald Dworkin</w:t>
      </w:r>
      <w:r>
        <w:rPr>
          <w:rFonts w:ascii="Palatino Linotype" w:eastAsia="Palatino Linotype" w:hAnsi="Palatino Linotype" w:cs="Palatino Linotype"/>
          <w:sz w:val="24"/>
          <w:szCs w:val="24"/>
        </w:rPr>
        <w:t xml:space="preserve"> (Oxford: OUP, 2008)</w:t>
      </w:r>
    </w:p>
    <w:p w14:paraId="00000041" w14:textId="77777777" w:rsidR="00F922D6" w:rsidRDefault="002764A2">
      <w:pPr>
        <w:ind w:left="1134"/>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lastRenderedPageBreak/>
        <w:t xml:space="preserve">Argues that there might be a </w:t>
      </w:r>
      <w:r>
        <w:rPr>
          <w:rFonts w:ascii="Palatino Linotype" w:eastAsia="Palatino Linotype" w:hAnsi="Palatino Linotype" w:cs="Palatino Linotype"/>
          <w:i/>
          <w:sz w:val="20"/>
          <w:szCs w:val="20"/>
        </w:rPr>
        <w:t>prima facie</w:t>
      </w:r>
      <w:r>
        <w:rPr>
          <w:rFonts w:ascii="Palatino Linotype" w:eastAsia="Palatino Linotype" w:hAnsi="Palatino Linotype" w:cs="Palatino Linotype"/>
          <w:sz w:val="20"/>
          <w:szCs w:val="20"/>
        </w:rPr>
        <w:t xml:space="preserve"> moral obligation to obey the law, based upon morally important ‘associative obligations’ which arise from social relations, which are the sorts of relations governed by law. </w:t>
      </w:r>
    </w:p>
    <w:p w14:paraId="00000042" w14:textId="77777777" w:rsidR="00F922D6" w:rsidRDefault="00F922D6">
      <w:pPr>
        <w:ind w:left="567" w:hanging="567"/>
        <w:rPr>
          <w:rFonts w:ascii="Palatino Linotype" w:eastAsia="Palatino Linotype" w:hAnsi="Palatino Linotype" w:cs="Palatino Linotype"/>
          <w:smallCaps/>
          <w:sz w:val="24"/>
          <w:szCs w:val="24"/>
        </w:rPr>
      </w:pPr>
    </w:p>
    <w:p w14:paraId="00000043" w14:textId="77777777" w:rsidR="00F922D6" w:rsidRDefault="002764A2">
      <w:pPr>
        <w:ind w:left="567" w:hanging="567"/>
        <w:rPr>
          <w:rFonts w:ascii="Palatino Linotype" w:eastAsia="Palatino Linotype" w:hAnsi="Palatino Linotype" w:cs="Palatino Linotype"/>
          <w:smallCaps/>
          <w:sz w:val="24"/>
          <w:szCs w:val="24"/>
        </w:rPr>
      </w:pPr>
      <w:r>
        <w:rPr>
          <w:rFonts w:ascii="Palatino Linotype" w:eastAsia="Palatino Linotype" w:hAnsi="Palatino Linotype" w:cs="Palatino Linotype"/>
          <w:smallCaps/>
          <w:sz w:val="24"/>
          <w:szCs w:val="24"/>
        </w:rPr>
        <w:t>Balancing Rights and the General Good</w:t>
      </w:r>
    </w:p>
    <w:p w14:paraId="00000044" w14:textId="77777777" w:rsidR="00F922D6" w:rsidRDefault="002764A2">
      <w:pPr>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*Denise Mayerson</w:t>
      </w:r>
      <w:r>
        <w:rPr>
          <w:rFonts w:ascii="Palatino Linotype" w:eastAsia="Palatino Linotype" w:hAnsi="Palatino Linotype" w:cs="Palatino Linotype"/>
          <w:sz w:val="24"/>
          <w:szCs w:val="24"/>
        </w:rPr>
        <w:t xml:space="preserve">, ‘Why Courts Should Not Balance Rights Against the Public Interest’, </w:t>
      </w:r>
      <w:r>
        <w:rPr>
          <w:rFonts w:ascii="Palatino Linotype" w:eastAsia="Palatino Linotype" w:hAnsi="Palatino Linotype" w:cs="Palatino Linotype"/>
          <w:i/>
          <w:sz w:val="24"/>
          <w:szCs w:val="24"/>
        </w:rPr>
        <w:t xml:space="preserve">Melbourne University Law Review </w:t>
      </w:r>
      <w:r>
        <w:rPr>
          <w:rFonts w:ascii="Palatino Linotype" w:eastAsia="Palatino Linotype" w:hAnsi="Palatino Linotype" w:cs="Palatino Linotype"/>
          <w:sz w:val="24"/>
          <w:szCs w:val="24"/>
        </w:rPr>
        <w:t xml:space="preserve">31 (2007), pp. 801-30 (download from </w:t>
      </w:r>
      <w:hyperlink r:id="rId8">
        <w:r>
          <w:rPr>
            <w:rFonts w:ascii="Palatino Linotype" w:eastAsia="Palatino Linotype" w:hAnsi="Palatino Linotype" w:cs="Palatino Linotype"/>
            <w:color w:val="0563C1"/>
            <w:sz w:val="24"/>
            <w:szCs w:val="24"/>
            <w:u w:val="single"/>
          </w:rPr>
          <w:t>https://papers.ssrn.com/sol3/papers.cfm?abstract_id=1103687</w:t>
        </w:r>
      </w:hyperlink>
      <w:r>
        <w:rPr>
          <w:rFonts w:ascii="Palatino Linotype" w:eastAsia="Palatino Linotype" w:hAnsi="Palatino Linotype" w:cs="Palatino Linotype"/>
          <w:sz w:val="24"/>
          <w:szCs w:val="24"/>
        </w:rPr>
        <w:t xml:space="preserve">) </w:t>
      </w:r>
    </w:p>
    <w:p w14:paraId="00000045" w14:textId="77777777" w:rsidR="00F922D6" w:rsidRDefault="002764A2">
      <w:pPr>
        <w:ind w:left="1134"/>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Mayerson argues against a commonly assumed and applied legal principle: that individuals’ rights should be weighed against the general good by considering whether it is proportionate to protect those rights at the cost to the general good which would come of protecting them.</w:t>
      </w:r>
    </w:p>
    <w:sectPr w:rsidR="00F922D6">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7749973-EA4F-4AC1-892C-99B122A51D15}"/>
    <w:embedBold r:id="rId2" w:fontKey="{22C74B47-F76A-4485-9A30-A22B9A52038D}"/>
  </w:font>
  <w:font w:name="Times New Roman">
    <w:panose1 w:val="02020603050405020304"/>
    <w:charset w:val="00"/>
    <w:family w:val="roman"/>
    <w:pitch w:val="variable"/>
    <w:sig w:usb0="E0002EFF" w:usb1="C000785B" w:usb2="00000009" w:usb3="00000000" w:csb0="000001FF" w:csb1="00000000"/>
  </w:font>
  <w:font w:name="Code">
    <w:altName w:val="Calibri"/>
    <w:charset w:val="00"/>
    <w:family w:val="swiss"/>
    <w:pitch w:val="default"/>
    <w:sig w:usb0="00000000"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3" w:fontKey="{0C4402E9-6D19-4EBC-9DC1-A4B6C9857153}"/>
    <w:embedItalic r:id="rId4" w:fontKey="{F93AF93B-D8EB-4DA2-AAEA-1EC8D44E9481}"/>
  </w:font>
  <w:font w:name="Palatino Linotype">
    <w:panose1 w:val="02040502050505030304"/>
    <w:charset w:val="00"/>
    <w:family w:val="roman"/>
    <w:pitch w:val="variable"/>
    <w:sig w:usb0="E0000287" w:usb1="40000013" w:usb2="00000000" w:usb3="00000000" w:csb0="0000019F" w:csb1="00000000"/>
    <w:embedRegular r:id="rId5" w:fontKey="{B3F7F743-0CAE-4412-B758-5E3E0F45577B}"/>
    <w:embedBold r:id="rId6" w:fontKey="{695A4A3E-43EE-4EB7-9686-46A6E004E385}"/>
    <w:embedItalic r:id="rId7" w:fontKey="{1DB02128-8F3E-4AFC-96CD-303BE22EC72C}"/>
  </w:font>
  <w:font w:name="Calibri Light">
    <w:panose1 w:val="020F0302020204030204"/>
    <w:charset w:val="00"/>
    <w:family w:val="swiss"/>
    <w:pitch w:val="variable"/>
    <w:sig w:usb0="E4002EFF" w:usb1="C200247B" w:usb2="00000009" w:usb3="00000000" w:csb0="000001FF" w:csb1="00000000"/>
    <w:embedRegular r:id="rId8" w:fontKey="{D809B722-09DE-4735-BA90-13BD3C90092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22D6"/>
    <w:rsid w:val="002764A2"/>
    <w:rsid w:val="00544F8C"/>
    <w:rsid w:val="00F922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3AE1E4-21BE-4AC7-84E9-373049D54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46010"/>
    <w:pPr>
      <w:ind w:left="720"/>
      <w:contextualSpacing/>
    </w:pPr>
  </w:style>
  <w:style w:type="paragraph" w:customStyle="1" w:styleId="Default">
    <w:name w:val="Default"/>
    <w:rsid w:val="00EB0CD7"/>
    <w:pPr>
      <w:autoSpaceDE w:val="0"/>
      <w:autoSpaceDN w:val="0"/>
      <w:adjustRightInd w:val="0"/>
    </w:pPr>
    <w:rPr>
      <w:rFonts w:ascii="Code" w:hAnsi="Code" w:cs="Code"/>
      <w:color w:val="000000"/>
      <w:sz w:val="24"/>
      <w:szCs w:val="24"/>
    </w:rPr>
  </w:style>
  <w:style w:type="character" w:styleId="Hyperlink">
    <w:name w:val="Hyperlink"/>
    <w:basedOn w:val="DefaultParagraphFont"/>
    <w:uiPriority w:val="99"/>
    <w:unhideWhenUsed/>
    <w:rsid w:val="00CC40AA"/>
    <w:rPr>
      <w:color w:val="0563C1" w:themeColor="hyperlink"/>
      <w:u w:val="single"/>
    </w:rPr>
  </w:style>
  <w:style w:type="character" w:styleId="Mention">
    <w:name w:val="Mention"/>
    <w:basedOn w:val="DefaultParagraphFont"/>
    <w:uiPriority w:val="99"/>
    <w:semiHidden/>
    <w:unhideWhenUsed/>
    <w:rsid w:val="00CC40AA"/>
    <w:rPr>
      <w:color w:val="2B579A"/>
      <w:shd w:val="clear" w:color="auto" w:fill="E6E6E6"/>
    </w:rPr>
  </w:style>
  <w:style w:type="character" w:styleId="Emphasis">
    <w:name w:val="Emphasis"/>
    <w:basedOn w:val="DefaultParagraphFont"/>
    <w:uiPriority w:val="20"/>
    <w:qFormat/>
    <w:rsid w:val="00E9491A"/>
    <w:rPr>
      <w:i/>
      <w:iCs/>
    </w:rPr>
  </w:style>
  <w:style w:type="paragraph" w:styleId="FootnoteText">
    <w:name w:val="footnote text"/>
    <w:basedOn w:val="Normal"/>
    <w:link w:val="FootnoteTextChar"/>
    <w:uiPriority w:val="99"/>
    <w:semiHidden/>
    <w:unhideWhenUsed/>
    <w:rsid w:val="005027CF"/>
    <w:rPr>
      <w:sz w:val="20"/>
      <w:szCs w:val="20"/>
    </w:rPr>
  </w:style>
  <w:style w:type="character" w:customStyle="1" w:styleId="FootnoteTextChar">
    <w:name w:val="Footnote Text Char"/>
    <w:basedOn w:val="DefaultParagraphFont"/>
    <w:link w:val="FootnoteText"/>
    <w:uiPriority w:val="99"/>
    <w:semiHidden/>
    <w:rsid w:val="005027CF"/>
    <w:rPr>
      <w:sz w:val="20"/>
      <w:szCs w:val="20"/>
    </w:rPr>
  </w:style>
  <w:style w:type="character" w:styleId="FootnoteReference">
    <w:name w:val="footnote reference"/>
    <w:basedOn w:val="DefaultParagraphFont"/>
    <w:uiPriority w:val="99"/>
    <w:semiHidden/>
    <w:unhideWhenUsed/>
    <w:rsid w:val="005027CF"/>
    <w:rPr>
      <w:vertAlign w:val="superscrip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apers.ssrn.com/sol3/papers.cfm?abstract_id=1103687" TargetMode="External"/><Relationship Id="rId3" Type="http://schemas.openxmlformats.org/officeDocument/2006/relationships/settings" Target="settings.xml"/><Relationship Id="rId7" Type="http://schemas.openxmlformats.org/officeDocument/2006/relationships/hyperlink" Target="http://homepage.univie.ac.at/Herlinde.Pauer-Studer//wp-content/uploads/2016/02/Hans-Kelsens-Legal-Positivism-and-the-Challenge-of-Nazi-Law.pdf"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srn.com/abstract=2223760" TargetMode="External"/><Relationship Id="rId5" Type="http://schemas.openxmlformats.org/officeDocument/2006/relationships/hyperlink" Target="mailto:christopher.jay@york.ac.uk"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eoqnNMZqv/n1LY+JCovmzz7Ghw==">CgMxLjAyDmguaDI1cnpuZzA5enQzOAByHDBCd0EyNFNoQXBqeUtSVGsyYkZKbFgxRnBibWM=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1804</Words>
  <Characters>10287</Characters>
  <Application>Microsoft Office Word</Application>
  <DocSecurity>0</DocSecurity>
  <Lines>85</Lines>
  <Paragraphs>24</Paragraphs>
  <ScaleCrop>false</ScaleCrop>
  <Company/>
  <LinksUpToDate>false</LinksUpToDate>
  <CharactersWithSpaces>12067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Christopher Jay</cp:lastModifiedBy>
  <cp:revision>2</cp:revision>
  <dcterms:created xsi:type="dcterms:W3CDTF">2025-07-28T13:19:00Z</dcterms:created>
  <dcterms:modified xsi:type="dcterms:W3CDTF">2025-07-28T13:19:00Z</dcterms:modified>
</cp:coreProperties>
</file>